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280CFC">
        <w:rPr>
          <w:rFonts w:ascii="Calibri" w:hAnsi="Calibri" w:cs="Calibri"/>
          <w:color w:val="auto"/>
          <w:sz w:val="44"/>
          <w:szCs w:val="44"/>
          <w:lang w:val="el-GR"/>
        </w:rPr>
        <w:t>ΔΕΚΕΜΒΡΙΟΥ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280CF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ΔΕΚΕΜ</w:t>
      </w:r>
      <w:r w:rsidR="0092320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</w:t>
      </w:r>
      <w:r w:rsidR="003817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ΡΙΟΣ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280CF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ΔΕΚΕΜΒΡΙΟΣ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92320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280C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280CF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ΔΕΚΕΜΒΡΙΟΣ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6C5A1E" w:rsidRDefault="006C5A1E" w:rsidP="006C5A1E">
      <w:pPr>
        <w:spacing w:before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</w:p>
    <w:p w:rsidR="006C5A1E" w:rsidRPr="006C5A1E" w:rsidRDefault="006C5A1E" w:rsidP="006C5A1E">
      <w:pPr>
        <w:spacing w:before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6C5A1E">
        <w:rPr>
          <w:rFonts w:ascii="Calibri" w:eastAsia="Calibri" w:hAnsi="Calibri" w:cs="Arial"/>
          <w:color w:val="auto"/>
          <w:spacing w:val="4"/>
          <w:u w:val="single"/>
          <w:vertAlign w:val="superscript"/>
          <w:lang w:val="el-GR"/>
        </w:rPr>
        <w:footnoteReference w:id="1"/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pacing w:val="4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67766A" w:rsidRPr="0067766A" w:rsidRDefault="0067766A" w:rsidP="0067766A">
      <w:p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Eurostat</w:t>
      </w:r>
      <w:proofErr w:type="spellEnd"/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εκτίμηση, κατά το μήνα Νοέμβριο  του 2022, η ανεργία στην Κύπρο ανήλθε στο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7,5%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παρουσιάζοντας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0,9 ποσοστιαίες μονάδες σε σχέση με τον ίδιο μήνα πέρσι (6,6%). Σε σύγκριση με τον προηγούμενο μήνα, Οκτώβριο 2022 (6,9%), το ποσοστό ανεργίας αυξήθηκε κατά 0,6 ποσοστιαί</w:t>
      </w:r>
      <w:r w:rsidR="005204D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ες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μονάδ</w:t>
      </w:r>
      <w:r w:rsidR="005204D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ες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. Η ανεργία των νέων 15-24 ετών έφτασε στο 20,6% τον Σεπτέμβριο του 2022 παρουσιάζοντας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5,7 ποσοστιαίες μονάδες σε σχέση με ίδιο μήνα πέρσι που ήταν 14,9%.  </w:t>
      </w:r>
    </w:p>
    <w:p w:rsidR="0067766A" w:rsidRPr="0067766A" w:rsidRDefault="0067766A" w:rsidP="0067766A">
      <w:p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 επίπεδο ανεργίας στην Ευρωζώνη (ΕΑ 19) έφτασε στο 6,5% τον Νοέμβριο του 2022 από 7,1% που ήταν τον Νοέμβριο του 2021, και παρέμεινε το ίδιο σε σχέση με τον προηγούμενο μήνα Οκτώβριο του 2022. Ο μέσος όρος ανεργίας στην Ευρώπη έφτασε στο 6,0% τον Νοέμβριο του 2022 από 6,5% που ήταν τον ίδιο μήνα πέρσι. 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hAnsi="Calibri" w:cs="Arial"/>
          <w:bCs w:val="0"/>
          <w:color w:val="auto"/>
          <w:spacing w:val="4"/>
          <w:u w:val="single"/>
          <w:lang w:val="el-GR"/>
        </w:rPr>
      </w:pPr>
      <w:r w:rsidRPr="006C5A1E">
        <w:rPr>
          <w:rFonts w:ascii="Calibri" w:hAnsi="Calibri" w:cs="Arial"/>
          <w:bCs w:val="0"/>
          <w:color w:val="auto"/>
          <w:spacing w:val="4"/>
          <w:u w:val="single"/>
          <w:lang w:val="el-GR"/>
        </w:rPr>
        <w:t>2. ΕΡΕΥΝΑ ΕΡΓΑΤΙΚΟΥ ΔΥΝΑΜΙΚΟΥ</w:t>
      </w:r>
      <w:r w:rsidRPr="006C5A1E">
        <w:rPr>
          <w:rFonts w:ascii="Calibri" w:hAnsi="Calibri" w:cs="Arial"/>
          <w:bCs w:val="0"/>
          <w:color w:val="auto"/>
          <w:spacing w:val="4"/>
          <w:u w:val="single"/>
          <w:vertAlign w:val="superscript"/>
          <w:lang w:val="el-GR"/>
        </w:rPr>
        <w:footnoteReference w:id="2"/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67766A" w:rsidRPr="0067766A" w:rsidRDefault="0067766A" w:rsidP="0067766A">
      <w:pPr>
        <w:spacing w:after="240" w:line="276" w:lineRule="auto"/>
        <w:ind w:left="-142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τρίτο τρίμηνο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του 2022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6,8%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παρουσιάζοντας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αύξηση κατά 0,2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σχέση με το αντίστοιχο τρίμηνο του 2021 που ήταν 6,6%, ο δε αριθμός των ανέργων έφθασε τα  32.868 άτομα  παρουσιάζοντας αύξηση κατά  1.523 άτομα. </w:t>
      </w:r>
      <w:bookmarkStart w:id="0" w:name="_Hlk112938962"/>
      <w:bookmarkStart w:id="1" w:name="_Hlk81401103"/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2022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ήταν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6,7%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και του αριθμού των ανέργων 32.359 άτομα σε σύγκριση με 7,9% και 36.516 άτομα το πρώτο εννεάμηνο του 2021, παρουσιάζοντας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μείωση 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κατά 1,2 ποσοστιαίες μονάδες και 4.158 άτομα, αντίστοιχα. </w:t>
      </w:r>
      <w:bookmarkEnd w:id="0"/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ανεργίας καθ’ όλο 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7,5%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(34.787 άτομα) από 7,6% που ήταν το 2020 (34.291 άτομα)</w:t>
      </w:r>
      <w:bookmarkEnd w:id="1"/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67766A" w:rsidRPr="0067766A" w:rsidRDefault="0067766A" w:rsidP="0067766A">
      <w:pPr>
        <w:spacing w:after="240" w:line="276" w:lineRule="auto"/>
        <w:ind w:left="-142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67766A" w:rsidRPr="0067766A" w:rsidRDefault="0067766A" w:rsidP="0067766A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19,9%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(8.025 άτομα) το τρίτο τρίμηνο του 2022, παρουσιάζοντας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αύξηση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5,4 ποσοστιαίες μονάδες σε σχέση με το αντίστοιχο τρίμηνο του 2021 που ήταν 14,5% (5.711 άτομα). Ο μέσος όρος του ποσοστού ανεργίας των νέων κατά 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2022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ήταν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18,4%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και του αριθμού των ανέργων νέων 7,286 άτομα σε σύγκριση με 17,0% και 6,625 άτομα το πρώτο εννεάμηνο του 2021, παρουσιάζοντας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αύξηση 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κατά 1,4 ποσοστιαίες μονάδες και 661 άτομα, αντίστοιχα. Ο μέσος όρος του ποσοστού ανεργίας των νέων 15-24 ετών για 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17,1%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από 18,2% που ήταν το 2020 (6.405 άτομα). </w:t>
      </w:r>
    </w:p>
    <w:p w:rsidR="0067766A" w:rsidRPr="0067766A" w:rsidRDefault="0067766A" w:rsidP="0067766A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67766A" w:rsidRPr="0067766A" w:rsidRDefault="0067766A" w:rsidP="0067766A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τρίτο τρίμηνο του 2022 αυξήθηκε κατά 12.666 άτομα (2,9%) σε σύγκριση με το ίδιο τρίμηνο του 2021, φτάνοντας στα 453.625 άτομα, από 440.959 άτομα που ήταν το 2021,  το δε 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1,1 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ποσοστιαία μονάδα φτάνοντας στο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78,3% 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τρίτο τρίμηνο του 2022 από 77,2% που ήταν το αντίστοιχο τρίμηνο του 2021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.          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της απασχόλησης κατά 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2022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κατά 21.169 άτομα ή  5,0% φθάνοντας στα 448,811 άτομα από 427,642 άτομα κατά το πρώτο εννεάμηνο του 2021, του δε ποσοστού απασχόλησης αυξήθηκε στο 77,8% από 75,3%. </w:t>
      </w:r>
    </w:p>
    <w:p w:rsidR="0067766A" w:rsidRPr="0067766A" w:rsidRDefault="0067766A" w:rsidP="0067766A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μέσος όρος του ποσοστού απασχόλησης των ατόμων  ηλικίας 20-64 χρόνων κατά το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67766A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67766A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Ο ετήσιος μέσος όρος του ποσοστού απασχόλησης των ατόμων 20-64 χρόνων κατά το 2019 ήταν 75,7%, το 2018  ήταν  73,9%, το 2017 ήταν 70,8% και το 2016, 68,7%.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8"/>
          <w:szCs w:val="8"/>
          <w:lang w:val="el-GR"/>
        </w:rPr>
      </w:pPr>
    </w:p>
    <w:p w:rsidR="006C5A1E" w:rsidRPr="006C5A1E" w:rsidRDefault="006C5A1E" w:rsidP="006C5A1E">
      <w:pPr>
        <w:spacing w:line="276" w:lineRule="auto"/>
        <w:ind w:left="-142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6C5A1E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6C5A1E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6C5A1E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6C5A1E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6C5A1E" w:rsidRPr="006C5A1E" w:rsidRDefault="006C5A1E" w:rsidP="006C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67766A" w:rsidRDefault="0067766A" w:rsidP="0067766A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1E5D04" w:rsidRDefault="001E5D04" w:rsidP="0067766A">
      <w:pPr>
        <w:pStyle w:val="ListParagraph"/>
        <w:spacing w:line="276" w:lineRule="auto"/>
        <w:ind w:left="0"/>
        <w:jc w:val="both"/>
        <w:rPr>
          <w:rFonts w:ascii="Calibri" w:hAnsi="Calibri" w:cs="Arial"/>
          <w:i/>
          <w:iCs/>
          <w:color w:val="auto"/>
          <w:lang w:val="el-GR"/>
        </w:rPr>
      </w:pPr>
    </w:p>
    <w:p w:rsidR="00590D2B" w:rsidRDefault="00590D2B" w:rsidP="0067766A">
      <w:pPr>
        <w:pStyle w:val="ListParagraph"/>
        <w:spacing w:line="276" w:lineRule="auto"/>
        <w:ind w:left="0"/>
        <w:jc w:val="both"/>
        <w:rPr>
          <w:rFonts w:ascii="Calibri" w:hAnsi="Calibri" w:cs="Arial"/>
          <w:i/>
          <w:iCs/>
          <w:color w:val="auto"/>
          <w:lang w:val="el-GR"/>
        </w:rPr>
      </w:pPr>
    </w:p>
    <w:p w:rsidR="001E5D04" w:rsidRDefault="001E5D04" w:rsidP="0067766A">
      <w:pPr>
        <w:pStyle w:val="ListParagraph"/>
        <w:spacing w:line="276" w:lineRule="auto"/>
        <w:ind w:left="0"/>
        <w:jc w:val="both"/>
        <w:rPr>
          <w:rFonts w:ascii="Calibri" w:hAnsi="Calibri" w:cs="Arial"/>
          <w:i/>
          <w:iCs/>
          <w:color w:val="auto"/>
          <w:lang w:val="el-GR"/>
        </w:rPr>
      </w:pPr>
    </w:p>
    <w:p w:rsidR="0067766A" w:rsidRDefault="0067766A" w:rsidP="0067766A">
      <w:pPr>
        <w:pStyle w:val="ListParagraph"/>
        <w:spacing w:line="276" w:lineRule="auto"/>
        <w:ind w:left="0"/>
        <w:jc w:val="both"/>
        <w:rPr>
          <w:rFonts w:ascii="Calibri" w:hAnsi="Calibri" w:cs="Arial"/>
          <w:iCs/>
          <w:caps/>
          <w:color w:val="auto"/>
          <w:lang w:val="el-GR"/>
        </w:rPr>
      </w:pPr>
      <w:r w:rsidRPr="00E812D4">
        <w:rPr>
          <w:rFonts w:ascii="Calibri" w:hAnsi="Calibri" w:cs="Arial"/>
          <w:i/>
          <w:iCs/>
          <w:color w:val="auto"/>
          <w:lang w:val="el-GR"/>
        </w:rPr>
        <w:t xml:space="preserve">Α. </w:t>
      </w:r>
      <w:r w:rsidRPr="00E812D4">
        <w:rPr>
          <w:rFonts w:ascii="Calibri" w:hAnsi="Calibri" w:cs="Arial"/>
          <w:iCs/>
          <w:caps/>
          <w:color w:val="auto"/>
          <w:lang w:val="el-GR"/>
        </w:rPr>
        <w:t xml:space="preserve">ετήσια σύγκριση μεταξύ </w:t>
      </w:r>
      <w:r>
        <w:rPr>
          <w:rFonts w:ascii="Calibri" w:hAnsi="Calibri" w:cs="Arial"/>
          <w:iCs/>
          <w:caps/>
          <w:color w:val="auto"/>
          <w:lang w:val="el-GR"/>
        </w:rPr>
        <w:t>ΔΕΚΕΜΒΡΙΟΥ</w:t>
      </w:r>
      <w:r w:rsidRPr="00E812D4">
        <w:rPr>
          <w:rFonts w:ascii="Calibri" w:hAnsi="Calibri" w:cs="Arial"/>
          <w:iCs/>
          <w:caps/>
          <w:color w:val="auto"/>
          <w:lang w:val="el-GR"/>
        </w:rPr>
        <w:t xml:space="preserve"> 2022 και 2021 :</w:t>
      </w:r>
    </w:p>
    <w:p w:rsidR="00CC165F" w:rsidRPr="00E812D4" w:rsidRDefault="00CC165F" w:rsidP="0067766A">
      <w:pPr>
        <w:pStyle w:val="ListParagraph"/>
        <w:spacing w:line="276" w:lineRule="auto"/>
        <w:ind w:left="0"/>
        <w:jc w:val="both"/>
        <w:rPr>
          <w:rFonts w:ascii="Calibri" w:hAnsi="Calibri" w:cs="Arial"/>
          <w:iCs/>
          <w:caps/>
          <w:color w:val="auto"/>
          <w:lang w:val="el-GR"/>
        </w:rPr>
      </w:pPr>
    </w:p>
    <w:p w:rsidR="0067766A" w:rsidRPr="00CC165F" w:rsidRDefault="0067766A" w:rsidP="00CC165F">
      <w:pPr>
        <w:pStyle w:val="ListParagraph"/>
        <w:numPr>
          <w:ilvl w:val="0"/>
          <w:numId w:val="44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CC165F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Αύξηση του αριθμού </w:t>
      </w:r>
      <w:r w:rsidRPr="00CC165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16.132 άτομα από 14.800 που ήταν τον αντίστοιχο μήνα του 2021 (</w:t>
      </w:r>
      <w:r w:rsidRPr="00CC165F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 κατά 9,0% ή 1.332 άτομα</w:t>
      </w:r>
      <w:r w:rsidRPr="00CC165F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67766A" w:rsidRPr="0067766A" w:rsidRDefault="0067766A" w:rsidP="0067766A">
      <w:pPr>
        <w:spacing w:line="276" w:lineRule="auto"/>
        <w:ind w:left="-284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7.339 άτομα, ενώ ο αριθμός των ανέργων γυναικών ανήλθε στα 8.793 άτομα. Σε σχέση με τον ίδιο μήνα πέρσι, ο αριθμός των ανέργων αντρών αυξήθηκε κατά 626 άτομα ενώ των γυναικών κατά 706 άτομα. 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67766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drawing>
          <wp:inline distT="0" distB="0" distL="0" distR="0" wp14:anchorId="234DC6A1" wp14:editId="79C9C841">
            <wp:extent cx="5486400" cy="3314700"/>
            <wp:effectExtent l="0" t="0" r="0" b="0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67766A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Αμμοχώστου (κατά 664 άτομα ή 21%), ακολουθεί η επαρχία Λευκωσίας (κατά </w:t>
      </w:r>
      <w:r w:rsidR="00636DF5" w:rsidRPr="007053C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3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89 άτομα ή 11%), η επαρχία Λάρνακας (κατά 384 άτομα ή 17%) και η επαρχία Πάφου (κατά 67 άτομα ή 3%).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παρουσιάστηκε στην επαρχία Λεμεσού (κατά 172 άτομα ή 5%).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(4.066 άτομα ή 25%), ακολουθεί η επαρχία Αμμοχώστου (3.820 ή 24%), Λεμεσού (3.250 ή 20%), Λάρνακας (2.679 ή 17%) και Πάφου (2.317 ή 14%). Στο διάγραμμα που ακολουθεί παρουσιάζεται η διακύμανση του αριθμού των ανέργων κατά επαρχία τους τελευταίους 13 μήνες.</w:t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4D14678A" wp14:editId="22D4F1A0">
            <wp:extent cx="5486400" cy="3352800"/>
            <wp:effectExtent l="0" t="0" r="0" b="0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67766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αυξήσεις</w:t>
      </w:r>
      <w:r w:rsidRPr="0067766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67766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67766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67766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των ξενοδοχείων (κατά 608 άτομα ή 14%) και στον τομέα των τραπεζών (κατά 567 άτομα ή 80%), ενώ οι μεγαλύτερες αριθμητικές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στο τομέα του εμπορίου (κατά 91 άτομα ή 4%) και στους νεοεισερχόμενους (κατά 43 άτομα ή 5%).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(5.044 άτομα ή 31%), στον τομέα των Άλλων Υπηρεσιών (2.468 άτομα ή 15%), στον τομέα του Εμπορίου (2.236 άτομα ή 14%), στον τομέα των τραπεζών (1.279 άτομα ή 8%) και στον τομέα των κατασκευών (980 ή 6%).</w:t>
      </w:r>
    </w:p>
    <w:p w:rsidR="0067766A" w:rsidRPr="0067766A" w:rsidRDefault="0067766A" w:rsidP="0067766A">
      <w:pPr>
        <w:spacing w:line="276" w:lineRule="auto"/>
        <w:ind w:left="-284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</w:p>
    <w:p w:rsidR="0067766A" w:rsidRPr="0067766A" w:rsidRDefault="0067766A" w:rsidP="0067766A">
      <w:pPr>
        <w:spacing w:line="276" w:lineRule="auto"/>
        <w:ind w:left="-284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67766A" w:rsidRPr="0067766A" w:rsidRDefault="0067766A" w:rsidP="0067766A">
      <w:pPr>
        <w:spacing w:line="276" w:lineRule="auto"/>
        <w:ind w:left="-284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5E464E75" wp14:editId="4A3CB558">
            <wp:extent cx="5486400" cy="2952750"/>
            <wp:effectExtent l="0" t="0" r="0" b="0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67766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αυξήσεις </w:t>
      </w:r>
      <w:r w:rsidRPr="0067766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67766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67766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στους υπαλλήλους γραφείου (κατά  483 άτομα ή 20%), στους υπαλλήλους υπηρεσιών και πωλητές (κατά 326 άτομα ή 7%) και στους τεχνικούς και ασκούντες συναφή επαγγέλματα (κατά 157 άτομα ή 20%). </w:t>
      </w:r>
      <w:r w:rsidRPr="0067766A">
        <w:rPr>
          <w:rFonts w:ascii="Calibri" w:eastAsia="Calibri" w:hAnsi="Calibri" w:cs="Arial"/>
          <w:b w:val="0"/>
          <w:sz w:val="22"/>
          <w:szCs w:val="22"/>
          <w:lang w:val="el-GR"/>
        </w:rPr>
        <w:t>Η μεγαλύτερη συγκέντρωση ανέργων έχει καταγραφεί στους</w:t>
      </w:r>
      <w:r w:rsidRPr="0067766A"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  <w:t xml:space="preserve"> υπαλλήλους υπηρεσιών και πωλητές </w:t>
      </w:r>
      <w:r w:rsidRPr="0067766A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(4.855 άτομα ή 30%), στους ανειδίκευτους εργάτες, χειρωνάκτες και μικροεπαγγελματίες (3.083 άτομα ή 19%), στην επαγγελματική κατηγορία των υπαλλήλων γραφείου (2.890 άτομα ή 18%) και στους προσοντούχους/ ειδικούς (1.464 άτομα ή 9%) </w:t>
      </w:r>
      <w:r w:rsidRPr="0067766A"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  <w:t xml:space="preserve">. </w:t>
      </w:r>
      <w:r w:rsidRPr="0067766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1605DED1" wp14:editId="7A41B656">
            <wp:extent cx="5486400" cy="3286125"/>
            <wp:effectExtent l="0" t="0" r="0" b="0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αυξήσεις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παρουσιάστηκαν στις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50-59 ετών (κατά 588 άτομα ή 18%),  40-49 χρονών (κατά 292 άτομα ή 9%) και 60-64 χρονών (κατά 241 άτομα ή 16%). Μικρή μ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είωση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παρατηρήθηκε στην ηλικιακή ομάδα 25-29 χρονών (κατά 32 άτομα ή 2%). </w:t>
      </w:r>
      <w:r w:rsidRPr="0067766A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(4.272 άτομα ή 27%), στην ηλικιακή ομάδα 50-59 ετών (3.778 άτομα ή 23%) και στην ηλικιακή ομάδα 40-49 ετών (3.631 άτομα ή 23%).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67766A">
        <w:rPr>
          <w:rFonts w:eastAsia="Calibri"/>
          <w:noProof/>
          <w:color w:val="auto"/>
          <w:lang w:val="el-GR"/>
        </w:rPr>
        <w:t xml:space="preserve"> </w:t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45FD0D35" wp14:editId="17F08FC9">
            <wp:extent cx="5486400" cy="3133725"/>
            <wp:effectExtent l="0" t="0" r="0" b="0"/>
            <wp:docPr id="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Calibri"/>
          <w:b w:val="0"/>
          <w:color w:val="auto"/>
          <w:sz w:val="16"/>
          <w:szCs w:val="16"/>
          <w:lang w:val="el-GR"/>
        </w:rPr>
      </w:pP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eastAsia="Calibri"/>
          <w:b w:val="0"/>
          <w:color w:val="auto"/>
          <w:lang w:val="el-GR"/>
        </w:rPr>
      </w:pPr>
      <w:r w:rsidRPr="0067766A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στα 1.369 άτομα παρουσιάζοντας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751 άτομα ή 35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%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 και αντιπροσωπεύει το 9% του συνόλου των εγγεγραμμένων ανέργων. Ο συνολικός αριθμός των εγγεγραμμένων ανέργων που είχαν διάρκεια ανεργίας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6 μέχρι 12 μήνες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1.804 άτομα (αύξηση κατά 622 άτομα ή 53% σε σχέση με τον ίδιο μήνα πέρσι) και αντιπροσωπεύει το 11% του συνόλου των εγγεγραμμένων ανέργων.  Κατά συνέπεια, ο συνολικός αριθμός των ανέργων με διάρκεια ανεργίας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πάνω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από 6 μήνες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μειώθηκε κατά 129 άτομα ή 4% και έφτασε τα 3.173  άτομα που αντιπροσωπεύουν το 20% του συνόλου των εγγεγραμμένων ανέργων. </w:t>
      </w:r>
      <w:r w:rsidRPr="0067766A">
        <w:rPr>
          <w:rFonts w:ascii="Calibri" w:eastAsia="Calibri" w:hAnsi="Calibri" w:cs="Arial"/>
          <w:color w:val="auto"/>
          <w:sz w:val="22"/>
          <w:szCs w:val="22"/>
        </w:rPr>
        <w:t>A</w:t>
      </w:r>
      <w:proofErr w:type="spellStart"/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ύξηση</w:t>
      </w:r>
      <w:proofErr w:type="spellEnd"/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παρατηρήθηκε στον αριθμό των ανέργων με διάρκεια ανεργίας </w:t>
      </w:r>
      <w:r w:rsidRPr="0067766A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488 άτομα ή 5%) ο οποίος ανήλθε στα 10.178 άτομα και αποτελεί το 63%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67766A" w:rsidRPr="0067766A" w:rsidRDefault="0067766A" w:rsidP="0067766A">
      <w:pPr>
        <w:spacing w:line="276" w:lineRule="auto"/>
        <w:ind w:left="-284"/>
        <w:jc w:val="both"/>
        <w:rPr>
          <w:rFonts w:eastAsia="Calibri"/>
          <w:b w:val="0"/>
          <w:color w:val="auto"/>
          <w:lang w:val="el-GR"/>
        </w:rPr>
      </w:pPr>
    </w:p>
    <w:p w:rsidR="0067766A" w:rsidRPr="0067766A" w:rsidRDefault="0067766A" w:rsidP="0067766A">
      <w:pPr>
        <w:spacing w:line="276" w:lineRule="auto"/>
        <w:ind w:left="-284"/>
        <w:jc w:val="both"/>
        <w:rPr>
          <w:rFonts w:eastAsia="Calibri"/>
          <w:b w:val="0"/>
          <w:color w:val="auto"/>
          <w:lang w:val="el-GR"/>
        </w:rPr>
      </w:pPr>
    </w:p>
    <w:p w:rsidR="0067766A" w:rsidRPr="0067766A" w:rsidRDefault="0067766A" w:rsidP="0067766A">
      <w:pPr>
        <w:spacing w:line="276" w:lineRule="auto"/>
        <w:ind w:left="-284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02C8CA38" wp14:editId="6C0282A9">
            <wp:extent cx="5486400" cy="3067050"/>
            <wp:effectExtent l="0" t="0" r="0" b="0"/>
            <wp:docPr id="1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766A" w:rsidRPr="0067766A" w:rsidRDefault="0067766A" w:rsidP="0067766A">
      <w:pPr>
        <w:spacing w:line="276" w:lineRule="auto"/>
        <w:ind w:left="-284"/>
        <w:jc w:val="both"/>
        <w:rPr>
          <w:rFonts w:eastAsia="Calibri"/>
          <w:b w:val="0"/>
          <w:color w:val="auto"/>
        </w:rPr>
      </w:pP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9.997 άτομα (62%), ενώ ο αντίστοιχος αριθμός τον ίδιο μήνα πέρσι ήταν 9.351 άτομα (63%). Από το σύνολο των ανέργων οι 3.665 (23%) ήταν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3.372 άτομα (23% του συνόλου των ανέργων). Σημειώνεται ότι 30 άτομα με καθεστώς προσωρινής προστασίας (πρόσφυγες από την Ουκρανία) αναζητούν εργασία μέσω της ΔΥΑ. Η μεγαλύτερη αριθμητική αύξηση ανεργίας σε σύγκριση με τον ίδιο μήνα πέρσι σημειώθηκε ανάμεσα στους  Ελληνοκύπριους (κατά 646 άτομα ή 7%) στους Ευρωπαίους (κατά 293 άτομα ή 9%) και στους Τουρκοκύπριους (κατά 187 άτομα ή 128%). Σχετικό το πιο κάτω διάγραμμα.</w:t>
      </w:r>
    </w:p>
    <w:p w:rsidR="0067766A" w:rsidRPr="0067766A" w:rsidRDefault="0067766A" w:rsidP="0067766A">
      <w:pPr>
        <w:spacing w:after="200" w:line="276" w:lineRule="auto"/>
        <w:ind w:left="-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375B6FB4" wp14:editId="49D922C8">
            <wp:extent cx="5486400" cy="3152775"/>
            <wp:effectExtent l="0" t="0" r="0" b="0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6776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7.156</w:t>
      </w:r>
      <w:r w:rsidRPr="0067766A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6776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(44%) είναι </w:t>
      </w:r>
      <w:r w:rsidRPr="0067766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6776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67766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εκπαίδευσης, </w:t>
      </w:r>
      <w:r w:rsidRPr="006776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4.759 άτομα (30%) είναι απόφοιτοι τριτοβάθμιας εκπαίδευσης,  4.090 άτομα (25%) είναι απόφοιτοι πρωτοβάθμιας εκπαίδευσης και τέλος 127 </w:t>
      </w:r>
      <w:r w:rsidRPr="006776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άτομα (1%)  είναι άτομα χωρίς μόρφωση. Σε σύγκριση με τον ίδιο μήνα πέρσι, ο αριθμός των αποφοίτων τριτοβάθμιας εκπαίδευσης </w:t>
      </w:r>
      <w:r w:rsidRPr="0067766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αυξήθηκε</w:t>
      </w:r>
      <w:r w:rsidRPr="006776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547 άτομα (ή 13%), ο αριθμός των αποφοίτων πρωτοβάθμιας εκπαίδευσης κατά 513 άτομα (ή 14%) και ο αριθμός των αποφοίτων δευτεροβάθμιας γενικής ή τεχνικής εκπαίδευσης κατά 281 άτομα (ή 4%).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67766A" w:rsidRPr="0067766A" w:rsidRDefault="0067766A" w:rsidP="0067766A">
      <w:pPr>
        <w:spacing w:line="276" w:lineRule="auto"/>
        <w:ind w:left="-284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67766A" w:rsidRPr="0067766A" w:rsidRDefault="0067766A" w:rsidP="0067766A">
      <w:pPr>
        <w:spacing w:line="276" w:lineRule="auto"/>
        <w:ind w:left="-284"/>
        <w:jc w:val="both"/>
        <w:rPr>
          <w:b w:val="0"/>
          <w:bCs w:val="0"/>
          <w:color w:val="auto"/>
          <w:lang w:val="el-GR"/>
        </w:rPr>
      </w:pPr>
    </w:p>
    <w:p w:rsidR="0067766A" w:rsidRPr="0067766A" w:rsidRDefault="0067766A" w:rsidP="0067766A">
      <w:pPr>
        <w:tabs>
          <w:tab w:val="left" w:pos="3400"/>
        </w:tabs>
        <w:spacing w:after="200" w:line="276" w:lineRule="auto"/>
        <w:ind w:left="-284"/>
        <w:rPr>
          <w:rFonts w:ascii="Calibri" w:eastAsia="Calibri" w:hAnsi="Calibri" w:cs="Arial"/>
          <w:iCs/>
          <w:color w:val="auto"/>
          <w:u w:val="single"/>
          <w:lang w:val="el-GR"/>
        </w:rPr>
      </w:pPr>
      <w:r>
        <w:rPr>
          <w:rFonts w:eastAsia="Calibri"/>
          <w:noProof/>
        </w:rPr>
        <w:drawing>
          <wp:inline distT="0" distB="0" distL="0" distR="0" wp14:anchorId="2A183D0E" wp14:editId="7EEB1939">
            <wp:extent cx="5486400" cy="3486150"/>
            <wp:effectExtent l="0" t="0" r="0" b="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766A" w:rsidRPr="0067766A" w:rsidRDefault="0067766A" w:rsidP="0067766A">
      <w:pPr>
        <w:tabs>
          <w:tab w:val="left" w:pos="3400"/>
        </w:tabs>
        <w:spacing w:after="200" w:line="276" w:lineRule="auto"/>
        <w:ind w:left="-284"/>
        <w:rPr>
          <w:rFonts w:ascii="Calibri" w:eastAsia="Calibri" w:hAnsi="Calibri" w:cs="Arial"/>
          <w:iCs/>
          <w:color w:val="auto"/>
          <w:u w:val="single"/>
          <w:lang w:val="el-GR"/>
        </w:rPr>
      </w:pPr>
    </w:p>
    <w:p w:rsidR="0067766A" w:rsidRPr="0067766A" w:rsidRDefault="0067766A" w:rsidP="0067766A">
      <w:pPr>
        <w:tabs>
          <w:tab w:val="left" w:pos="3400"/>
        </w:tabs>
        <w:spacing w:after="200" w:line="276" w:lineRule="auto"/>
        <w:ind w:left="-284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67766A">
        <w:rPr>
          <w:rFonts w:ascii="Calibri" w:eastAsia="Calibri" w:hAnsi="Calibri" w:cs="Arial"/>
          <w:iCs/>
          <w:color w:val="auto"/>
          <w:u w:val="single"/>
          <w:lang w:val="el-GR"/>
        </w:rPr>
        <w:t>Β. ΜΗΝΙΑΙΑ ΣΥΓΚΡΙΣΗ ΜΕΤΑΞΥ ΔΕΚΕΜΒΡΙΟΥ ΚΑΙ ΝΟΕΜΒΡΙΟΥ 2022: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Δεκέμβριο ο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αριθμός των εγγεγραμμένων ανέργων </w:t>
      </w:r>
      <w:r w:rsidRPr="0067766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823 άτομα ή 5% σε σύγκριση με τον προηγού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446 άτομα και ο αριθμός των γυναικών κατά 337 άτομα. 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παρουσιάστηκε στην ηλικιακή ομάδα 40-49 χρονών κατά 241 άτομα και στην ηλικιακή ομάδα 50-59 χρονών κατά 220 άτομα.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Ελληνοκύπριους κατά 457 άτομα και ανάμεσα στους Ευρωπαίους κατά 266 άτομα. 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αύξηση, κατά 2.805 άτομα, παρατηρήθηκε στους ανέργους με διάρκεια ανεργίας  από 15 μέρες μέχρι 3 μήνες, ενώ ο αριθμός των ανέργων με διάρκεια ανεργίας μέχρι 15 ημέρες μειώθηκε κατά 1.937 άτομα. 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Κατά τομέα οικονομικής δραστηριότητας, η  μεγαλύτερη αύξηση  παρατηρήθηκε στον τομέα των ξενοδοχείων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κατά 500, στον τομέα της δημόσιας διοίκησης κατά 148 άτομα και στις τράπεζες κατά 134 άτομα.</w:t>
      </w:r>
    </w:p>
    <w:p w:rsidR="0067766A" w:rsidRPr="0067766A" w:rsidRDefault="0067766A" w:rsidP="0067766A">
      <w:pPr>
        <w:numPr>
          <w:ilvl w:val="0"/>
          <w:numId w:val="1"/>
        </w:numPr>
        <w:spacing w:after="200" w:line="276" w:lineRule="auto"/>
        <w:ind w:left="-284" w:firstLine="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αυξήσεις καταγράφηκαν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408 άτομα </w:t>
      </w:r>
      <w:r w:rsidRPr="0067766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και</w:t>
      </w:r>
      <w:r w:rsidRPr="0067766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στην επαρχία Πάφου κατά 388 άτομα.</w:t>
      </w:r>
    </w:p>
    <w:p w:rsidR="0067766A" w:rsidRPr="0067766A" w:rsidRDefault="0067766A" w:rsidP="0067766A">
      <w:pPr>
        <w:ind w:left="-284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67766A" w:rsidRPr="0067766A" w:rsidRDefault="0067766A" w:rsidP="0067766A">
      <w:pPr>
        <w:ind w:left="-284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67766A" w:rsidRPr="0067766A" w:rsidRDefault="0067766A" w:rsidP="0067766A">
      <w:pPr>
        <w:ind w:left="-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67766A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67766A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67766A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67766A" w:rsidRPr="0067766A" w:rsidRDefault="0067766A" w:rsidP="0067766A">
      <w:pPr>
        <w:ind w:left="-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67766A" w:rsidRPr="0067766A" w:rsidRDefault="0067766A" w:rsidP="0067766A">
      <w:pPr>
        <w:ind w:left="-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67766A" w:rsidRPr="0067766A" w:rsidRDefault="0067766A" w:rsidP="0067766A">
      <w:pPr>
        <w:ind w:left="-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67766A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67766A" w:rsidRPr="0067766A" w:rsidRDefault="0067766A" w:rsidP="0067766A">
      <w:pPr>
        <w:ind w:left="-284"/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923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938"/>
        <w:gridCol w:w="988"/>
        <w:gridCol w:w="846"/>
        <w:gridCol w:w="847"/>
        <w:gridCol w:w="846"/>
        <w:gridCol w:w="987"/>
        <w:gridCol w:w="1128"/>
        <w:gridCol w:w="1240"/>
      </w:tblGrid>
      <w:tr w:rsidR="00F864F6" w:rsidRPr="00F864F6" w:rsidTr="008B4DF2">
        <w:trPr>
          <w:trHeight w:val="99"/>
        </w:trPr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4F6" w:rsidRPr="00F864F6" w:rsidRDefault="00F864F6" w:rsidP="00F864F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3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8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Ιούνιος 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Ιούλιος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4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Αύγ.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proofErr w:type="spellStart"/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</w:t>
            </w:r>
            <w:proofErr w:type="spellEnd"/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. 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8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Οκτ.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2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Νοέμβριος 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240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Δεκέμβριος </w:t>
            </w:r>
          </w:p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F864F6" w:rsidRPr="00F864F6" w:rsidTr="008B4DF2">
        <w:trPr>
          <w:trHeight w:val="235"/>
        </w:trPr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4F6" w:rsidRPr="00F864F6" w:rsidRDefault="00F864F6" w:rsidP="00F864F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93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1915</w:t>
            </w:r>
          </w:p>
        </w:tc>
        <w:tc>
          <w:tcPr>
            <w:tcW w:w="98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2769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2679</w:t>
            </w:r>
          </w:p>
        </w:tc>
        <w:tc>
          <w:tcPr>
            <w:tcW w:w="84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2308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2074</w:t>
            </w:r>
          </w:p>
        </w:tc>
        <w:tc>
          <w:tcPr>
            <w:tcW w:w="98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1619</w:t>
            </w:r>
          </w:p>
        </w:tc>
        <w:tc>
          <w:tcPr>
            <w:tcW w:w="112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1852</w:t>
            </w:r>
          </w:p>
        </w:tc>
        <w:tc>
          <w:tcPr>
            <w:tcW w:w="1240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1606</w:t>
            </w:r>
          </w:p>
        </w:tc>
      </w:tr>
      <w:tr w:rsidR="00F864F6" w:rsidRPr="00F864F6" w:rsidTr="008B4DF2">
        <w:trPr>
          <w:trHeight w:val="235"/>
        </w:trPr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4F6" w:rsidRPr="00F864F6" w:rsidRDefault="00F864F6" w:rsidP="00F864F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938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745</w:t>
            </w:r>
          </w:p>
        </w:tc>
        <w:tc>
          <w:tcPr>
            <w:tcW w:w="988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1464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1156</w:t>
            </w:r>
          </w:p>
        </w:tc>
        <w:tc>
          <w:tcPr>
            <w:tcW w:w="847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857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819</w:t>
            </w:r>
          </w:p>
        </w:tc>
        <w:tc>
          <w:tcPr>
            <w:tcW w:w="987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793</w:t>
            </w:r>
          </w:p>
        </w:tc>
        <w:tc>
          <w:tcPr>
            <w:tcW w:w="1128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2090</w:t>
            </w:r>
          </w:p>
        </w:tc>
        <w:tc>
          <w:tcPr>
            <w:tcW w:w="1240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947</w:t>
            </w:r>
          </w:p>
        </w:tc>
      </w:tr>
      <w:tr w:rsidR="00F864F6" w:rsidRPr="00F864F6" w:rsidTr="008B4DF2">
        <w:trPr>
          <w:trHeight w:val="235"/>
        </w:trPr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4F6" w:rsidRPr="00F864F6" w:rsidRDefault="00F864F6" w:rsidP="00F864F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938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</w:t>
            </w:r>
          </w:p>
        </w:tc>
        <w:tc>
          <w:tcPr>
            <w:tcW w:w="988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445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321</w:t>
            </w:r>
          </w:p>
        </w:tc>
        <w:tc>
          <w:tcPr>
            <w:tcW w:w="847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268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987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345</w:t>
            </w:r>
          </w:p>
        </w:tc>
        <w:tc>
          <w:tcPr>
            <w:tcW w:w="1128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2475</w:t>
            </w:r>
          </w:p>
        </w:tc>
        <w:tc>
          <w:tcPr>
            <w:tcW w:w="1240" w:type="dxa"/>
          </w:tcPr>
          <w:p w:rsidR="00F864F6" w:rsidRPr="00F864F6" w:rsidRDefault="00F864F6" w:rsidP="00F864F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1306</w:t>
            </w:r>
          </w:p>
        </w:tc>
      </w:tr>
      <w:tr w:rsidR="00F864F6" w:rsidRPr="00F864F6" w:rsidTr="008B4DF2">
        <w:trPr>
          <w:trHeight w:val="235"/>
        </w:trPr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4F6" w:rsidRPr="00F864F6" w:rsidRDefault="00F864F6" w:rsidP="00F864F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93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1246</w:t>
            </w:r>
          </w:p>
        </w:tc>
        <w:tc>
          <w:tcPr>
            <w:tcW w:w="98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1816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1701</w:t>
            </w:r>
          </w:p>
        </w:tc>
        <w:tc>
          <w:tcPr>
            <w:tcW w:w="84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1498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1356</w:t>
            </w:r>
          </w:p>
        </w:tc>
        <w:tc>
          <w:tcPr>
            <w:tcW w:w="98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1254</w:t>
            </w:r>
          </w:p>
        </w:tc>
        <w:tc>
          <w:tcPr>
            <w:tcW w:w="112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1340</w:t>
            </w:r>
          </w:p>
        </w:tc>
        <w:tc>
          <w:tcPr>
            <w:tcW w:w="1240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1263</w:t>
            </w:r>
          </w:p>
        </w:tc>
      </w:tr>
      <w:tr w:rsidR="00F864F6" w:rsidRPr="00F864F6" w:rsidTr="008B4DF2">
        <w:trPr>
          <w:trHeight w:val="235"/>
        </w:trPr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4F6" w:rsidRPr="00F864F6" w:rsidRDefault="00F864F6" w:rsidP="00F864F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93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618</w:t>
            </w:r>
          </w:p>
        </w:tc>
        <w:tc>
          <w:tcPr>
            <w:tcW w:w="98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842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748</w:t>
            </w:r>
          </w:p>
        </w:tc>
        <w:tc>
          <w:tcPr>
            <w:tcW w:w="84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577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635</w:t>
            </w:r>
          </w:p>
        </w:tc>
        <w:tc>
          <w:tcPr>
            <w:tcW w:w="987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546</w:t>
            </w:r>
          </w:p>
        </w:tc>
        <w:tc>
          <w:tcPr>
            <w:tcW w:w="1128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1400</w:t>
            </w:r>
          </w:p>
        </w:tc>
        <w:tc>
          <w:tcPr>
            <w:tcW w:w="1240" w:type="dxa"/>
          </w:tcPr>
          <w:p w:rsidR="00F864F6" w:rsidRPr="00F864F6" w:rsidRDefault="00F864F6" w:rsidP="00F864F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1065</w:t>
            </w:r>
          </w:p>
        </w:tc>
      </w:tr>
      <w:tr w:rsidR="00F864F6" w:rsidRPr="00F864F6" w:rsidTr="008B4DF2">
        <w:trPr>
          <w:trHeight w:val="352"/>
        </w:trPr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64F6" w:rsidRPr="00F864F6" w:rsidRDefault="00F864F6" w:rsidP="00F864F6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938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</w:rPr>
              <w:t>4.800</w:t>
            </w:r>
          </w:p>
        </w:tc>
        <w:tc>
          <w:tcPr>
            <w:tcW w:w="988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</w:rPr>
              <w:t>7.336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</w:rPr>
              <w:t>6.605</w:t>
            </w:r>
          </w:p>
        </w:tc>
        <w:tc>
          <w:tcPr>
            <w:tcW w:w="847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5.508</w:t>
            </w:r>
          </w:p>
        </w:tc>
        <w:tc>
          <w:tcPr>
            <w:tcW w:w="846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</w:rPr>
              <w:t>5.186</w:t>
            </w:r>
          </w:p>
        </w:tc>
        <w:tc>
          <w:tcPr>
            <w:tcW w:w="987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</w:rPr>
              <w:t>4.557</w:t>
            </w:r>
          </w:p>
        </w:tc>
        <w:tc>
          <w:tcPr>
            <w:tcW w:w="1128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</w:rPr>
              <w:t>9.157</w:t>
            </w:r>
          </w:p>
        </w:tc>
        <w:tc>
          <w:tcPr>
            <w:tcW w:w="1240" w:type="dxa"/>
          </w:tcPr>
          <w:p w:rsidR="00F864F6" w:rsidRPr="00F864F6" w:rsidRDefault="00F864F6" w:rsidP="00F864F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F864F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6.187</w:t>
            </w:r>
          </w:p>
        </w:tc>
      </w:tr>
    </w:tbl>
    <w:p w:rsidR="0067766A" w:rsidRDefault="0067766A" w:rsidP="004F37F4">
      <w:pPr>
        <w:pStyle w:val="ListParagraph"/>
        <w:spacing w:line="276" w:lineRule="auto"/>
        <w:ind w:left="-284"/>
        <w:jc w:val="both"/>
        <w:rPr>
          <w:rFonts w:ascii="Calibri" w:hAnsi="Calibri" w:cs="Calibri"/>
          <w:color w:val="auto"/>
          <w:u w:val="single"/>
          <w:lang w:val="el-GR"/>
        </w:rPr>
      </w:pPr>
    </w:p>
    <w:p w:rsidR="00FD75A3" w:rsidRDefault="00FD75A3" w:rsidP="004F37F4">
      <w:pPr>
        <w:pStyle w:val="ListParagraph"/>
        <w:spacing w:line="276" w:lineRule="auto"/>
        <w:ind w:left="-284"/>
        <w:jc w:val="both"/>
        <w:rPr>
          <w:rFonts w:ascii="Calibri" w:hAnsi="Calibri" w:cs="Calibri"/>
          <w:color w:val="auto"/>
          <w:u w:val="single"/>
          <w:lang w:val="el-GR"/>
        </w:rPr>
      </w:pPr>
    </w:p>
    <w:p w:rsidR="00591F7C" w:rsidRPr="00CB6AFA" w:rsidRDefault="00C049B4" w:rsidP="004F37F4">
      <w:pPr>
        <w:pStyle w:val="ListParagraph"/>
        <w:spacing w:line="276" w:lineRule="auto"/>
        <w:ind w:left="-284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CB6AFA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CB6AFA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CB6AFA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8D3C69">
        <w:rPr>
          <w:rFonts w:ascii="Calibri" w:hAnsi="Calibri" w:cs="Calibri"/>
          <w:caps/>
          <w:color w:val="auto"/>
          <w:u w:val="single"/>
          <w:lang w:val="el-GR"/>
        </w:rPr>
        <w:t>ΔΕΚΕ</w:t>
      </w:r>
      <w:r w:rsidR="000C26E7">
        <w:rPr>
          <w:rFonts w:ascii="Calibri" w:hAnsi="Calibri" w:cs="Calibri"/>
          <w:caps/>
          <w:color w:val="auto"/>
          <w:u w:val="single"/>
          <w:lang w:val="el-GR"/>
        </w:rPr>
        <w:t>ΜΒΡΙΟ</w:t>
      </w:r>
      <w:r w:rsidR="00235FCE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CB6AFA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92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314"/>
        <w:gridCol w:w="1297"/>
        <w:gridCol w:w="1083"/>
        <w:gridCol w:w="1212"/>
        <w:gridCol w:w="1491"/>
        <w:gridCol w:w="1041"/>
      </w:tblGrid>
      <w:tr w:rsidR="003644FB" w:rsidRPr="003644FB" w:rsidTr="004F37F4">
        <w:trPr>
          <w:trHeight w:val="463"/>
        </w:trPr>
        <w:tc>
          <w:tcPr>
            <w:tcW w:w="185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1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97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83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21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9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104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4F37F4">
        <w:trPr>
          <w:trHeight w:val="942"/>
        </w:trPr>
        <w:tc>
          <w:tcPr>
            <w:tcW w:w="185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314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97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83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21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9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104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4F37F4">
        <w:trPr>
          <w:trHeight w:val="710"/>
        </w:trPr>
        <w:tc>
          <w:tcPr>
            <w:tcW w:w="185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314" w:type="dxa"/>
          </w:tcPr>
          <w:p w:rsidR="00C70D27" w:rsidRPr="00F1098E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16132</w:t>
            </w:r>
          </w:p>
          <w:p w:rsidR="00133A83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1332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1098E" w:rsidRDefault="00F1098E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3644FB" w:rsidRP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CD7B08" w:rsidRPr="00F1098E" w:rsidRDefault="00254D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056</w:t>
            </w:r>
          </w:p>
          <w:p w:rsidR="007E455C" w:rsidRPr="00AF56E8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389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F1098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11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CA31D1" w:rsidRPr="00F1098E" w:rsidRDefault="00254D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250</w:t>
            </w:r>
          </w:p>
          <w:p w:rsidR="007E455C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72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F1098E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4F37F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CA31D1" w:rsidRPr="00F1098E" w:rsidRDefault="004F37F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679</w:t>
            </w:r>
          </w:p>
          <w:p w:rsidR="00AB7A1A" w:rsidRPr="00AF56E8" w:rsidRDefault="00F1098E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384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254D56" w:rsidP="00F1098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CA31D1" w:rsidRPr="00F1098E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820</w:t>
            </w:r>
          </w:p>
          <w:p w:rsidR="00CD7B08" w:rsidRPr="00AF56E8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664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F1098E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21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41" w:type="dxa"/>
          </w:tcPr>
          <w:p w:rsidR="00CA31D1" w:rsidRPr="00945F0A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2317</w:t>
            </w:r>
          </w:p>
          <w:p w:rsidR="00206B2B" w:rsidRPr="00AF56E8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67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F1098E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4F37F4">
        <w:trPr>
          <w:trHeight w:val="710"/>
        </w:trPr>
        <w:tc>
          <w:tcPr>
            <w:tcW w:w="1852" w:type="dxa"/>
          </w:tcPr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314" w:type="dxa"/>
          </w:tcPr>
          <w:p w:rsidR="00BF726F" w:rsidRPr="00F1098E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997</w:t>
            </w:r>
          </w:p>
          <w:p w:rsidR="00BF726F" w:rsidRPr="00F1098E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646</w:t>
            </w:r>
          </w:p>
          <w:p w:rsidR="00BF726F" w:rsidRPr="007406C4" w:rsidRDefault="00F1098E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BF726F" w:rsidRPr="007406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BF726F" w:rsidRPr="00F1098E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  <w:p w:rsidR="00BF726F" w:rsidRPr="00F1098E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291</w:t>
            </w:r>
          </w:p>
          <w:p w:rsidR="00BF726F" w:rsidRPr="00B45417" w:rsidRDefault="00F1098E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10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BF726F" w:rsidRPr="00467CA2" w:rsidRDefault="007406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275</w:t>
            </w:r>
          </w:p>
          <w:p w:rsidR="00BF726F" w:rsidRPr="00F1098E" w:rsidRDefault="00467CA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69</w:t>
            </w:r>
          </w:p>
          <w:p w:rsidR="00BF726F" w:rsidRPr="00B45417" w:rsidRDefault="00467CA2" w:rsidP="00F1098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BF726F" w:rsidRPr="00467CA2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1882</w:t>
            </w:r>
          </w:p>
          <w:p w:rsidR="00BF726F" w:rsidRPr="00F1098E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257</w:t>
            </w:r>
          </w:p>
          <w:p w:rsidR="00BF726F" w:rsidRPr="00B45417" w:rsidRDefault="00F1098E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16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BF726F" w:rsidRPr="00F1098E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</w:p>
          <w:p w:rsidR="00BF726F" w:rsidRPr="00BB1120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BB11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80</w:t>
            </w:r>
          </w:p>
          <w:p w:rsidR="00BF726F" w:rsidRPr="00B45417" w:rsidRDefault="00F1098E" w:rsidP="00467CA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BF726F" w:rsidRPr="00F1098E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1047</w:t>
            </w:r>
          </w:p>
          <w:p w:rsidR="00BF726F" w:rsidRPr="00BB1120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</w:t>
            </w:r>
          </w:p>
          <w:p w:rsidR="00BF726F" w:rsidRPr="00B45417" w:rsidRDefault="00EB17A9" w:rsidP="00F1098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4F37F4">
        <w:trPr>
          <w:trHeight w:val="926"/>
        </w:trPr>
        <w:tc>
          <w:tcPr>
            <w:tcW w:w="1852" w:type="dxa"/>
          </w:tcPr>
          <w:p w:rsidR="00CA31D1" w:rsidRPr="00CB6AFA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B6AFA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314" w:type="dxa"/>
          </w:tcPr>
          <w:p w:rsidR="00C70D27" w:rsidRPr="00F1098E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665</w:t>
            </w:r>
          </w:p>
          <w:p w:rsidR="00133A83" w:rsidRPr="00C914FE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293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F1098E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C126AF" w:rsidRPr="00F1098E" w:rsidRDefault="007406C4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BB112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0</w:t>
            </w:r>
          </w:p>
          <w:p w:rsidR="00C24A58" w:rsidRPr="00C914FE" w:rsidRDefault="00F1098E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48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467CA2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C126AF" w:rsidRPr="00F1098E" w:rsidRDefault="00CB6AFA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B8015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  <w:p w:rsidR="00C24A58" w:rsidRPr="00C914FE" w:rsidRDefault="00B8015C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128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F1098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B8015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-2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1D6A77" w:rsidRPr="00F1098E" w:rsidRDefault="00B8015C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80</w:t>
            </w:r>
          </w:p>
          <w:p w:rsidR="007902F6" w:rsidRPr="00F1098E" w:rsidRDefault="00F1098E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52</w:t>
            </w:r>
          </w:p>
          <w:p w:rsidR="002E65F1" w:rsidRPr="00C914FE" w:rsidRDefault="00F1098E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12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7902F6" w:rsidRPr="00467CA2" w:rsidRDefault="00467CA2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B8015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450</w:t>
            </w:r>
          </w:p>
          <w:p w:rsidR="007902F6" w:rsidRPr="00C914FE" w:rsidRDefault="00B8015C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386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7406C4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B8015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C53053" w:rsidRPr="00F1098E" w:rsidRDefault="00F1098E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663</w:t>
            </w:r>
          </w:p>
          <w:p w:rsidR="00A303D2" w:rsidRPr="00C914FE" w:rsidRDefault="00B8015C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B8015C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4F37F4">
        <w:trPr>
          <w:trHeight w:val="942"/>
        </w:trPr>
        <w:tc>
          <w:tcPr>
            <w:tcW w:w="1852" w:type="dxa"/>
          </w:tcPr>
          <w:p w:rsidR="00CA31D1" w:rsidRPr="00F55602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lastRenderedPageBreak/>
              <w:t>Άνεργοι Αλλοδαποί</w:t>
            </w:r>
          </w:p>
          <w:p w:rsidR="007E455C" w:rsidRPr="00F55602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285C37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314" w:type="dxa"/>
          </w:tcPr>
          <w:p w:rsidR="00C70D27" w:rsidRPr="00F55602" w:rsidRDefault="00F55602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773</w:t>
            </w:r>
          </w:p>
          <w:p w:rsidR="0046496C" w:rsidRPr="00285C37" w:rsidRDefault="00F55602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20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285C37" w:rsidRDefault="00F55602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285C37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97" w:type="dxa"/>
          </w:tcPr>
          <w:p w:rsidR="004824AF" w:rsidRPr="00F55602" w:rsidRDefault="00F55602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91</w:t>
            </w:r>
          </w:p>
          <w:p w:rsidR="004824AF" w:rsidRPr="00285C37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274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285C37" w:rsidRDefault="00EB17A9" w:rsidP="00F5560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23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F43A51" w:rsidRPr="00467CA2" w:rsidRDefault="007406C4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467CA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</w:p>
          <w:p w:rsidR="00D345BD" w:rsidRDefault="00EB17A9" w:rsidP="007406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C49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67CA2" w:rsidRPr="00467CA2" w:rsidRDefault="00467CA2" w:rsidP="00F5560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C49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77355D" w:rsidRPr="00F55602" w:rsidRDefault="00F5560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289</w:t>
            </w:r>
          </w:p>
          <w:p w:rsidR="00F35950" w:rsidRPr="00285C37" w:rsidRDefault="008C4920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2D34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285C37" w:rsidRDefault="00F55602" w:rsidP="00F5560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24</w:t>
            </w:r>
            <w:r w:rsidR="00F35950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F43A51" w:rsidRPr="00F55602" w:rsidRDefault="008C4920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89</w:t>
            </w:r>
          </w:p>
          <w:p w:rsidR="00686EF5" w:rsidRPr="00285C37" w:rsidRDefault="00F55602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56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285C37" w:rsidRDefault="00F55602" w:rsidP="001A41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24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F35950" w:rsidRPr="00F55602" w:rsidRDefault="008C4920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42</w:t>
            </w:r>
          </w:p>
          <w:p w:rsidR="00D345BD" w:rsidRPr="008C4920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-</w:t>
            </w:r>
          </w:p>
          <w:p w:rsidR="00DF0965" w:rsidRPr="00285C37" w:rsidRDefault="00DF0965" w:rsidP="001A41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</w:tr>
      <w:tr w:rsidR="000815CE" w:rsidRPr="000815CE" w:rsidTr="004F37F4">
        <w:trPr>
          <w:trHeight w:val="942"/>
        </w:trPr>
        <w:tc>
          <w:tcPr>
            <w:tcW w:w="1852" w:type="dxa"/>
          </w:tcPr>
          <w:p w:rsidR="00CA31D1" w:rsidRPr="00DC1A6D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DC1A6D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314" w:type="dxa"/>
          </w:tcPr>
          <w:p w:rsidR="00133A83" w:rsidRPr="00F55602" w:rsidRDefault="00F55602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785</w:t>
            </w:r>
          </w:p>
        </w:tc>
        <w:tc>
          <w:tcPr>
            <w:tcW w:w="1297" w:type="dxa"/>
          </w:tcPr>
          <w:p w:rsidR="00F35950" w:rsidRPr="00DC1A6D" w:rsidRDefault="00F55602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202</w:t>
            </w:r>
          </w:p>
        </w:tc>
        <w:tc>
          <w:tcPr>
            <w:tcW w:w="1083" w:type="dxa"/>
          </w:tcPr>
          <w:p w:rsidR="00F35950" w:rsidRPr="00DC1A6D" w:rsidRDefault="00F55602" w:rsidP="00285C3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274</w:t>
            </w:r>
          </w:p>
        </w:tc>
        <w:tc>
          <w:tcPr>
            <w:tcW w:w="1212" w:type="dxa"/>
          </w:tcPr>
          <w:p w:rsidR="00F35950" w:rsidRPr="00DC1A6D" w:rsidRDefault="00DC1A6D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</w:p>
        </w:tc>
        <w:tc>
          <w:tcPr>
            <w:tcW w:w="1491" w:type="dxa"/>
          </w:tcPr>
          <w:p w:rsidR="00F35950" w:rsidRPr="00DC1A6D" w:rsidRDefault="00F55602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94</w:t>
            </w:r>
          </w:p>
        </w:tc>
        <w:tc>
          <w:tcPr>
            <w:tcW w:w="1041" w:type="dxa"/>
          </w:tcPr>
          <w:p w:rsidR="00F35950" w:rsidRPr="00DC1A6D" w:rsidRDefault="004F37F4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</w:p>
        </w:tc>
      </w:tr>
      <w:tr w:rsidR="000815CE" w:rsidRPr="000815CE" w:rsidTr="004F37F4">
        <w:trPr>
          <w:trHeight w:val="710"/>
        </w:trPr>
        <w:tc>
          <w:tcPr>
            <w:tcW w:w="1852" w:type="dxa"/>
          </w:tcPr>
          <w:p w:rsidR="00F14AF0" w:rsidRPr="00DC1A6D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DC1A6D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314" w:type="dxa"/>
          </w:tcPr>
          <w:p w:rsidR="00F14AF0" w:rsidRPr="00DC1A6D" w:rsidRDefault="00F55602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7985</w:t>
            </w:r>
          </w:p>
        </w:tc>
        <w:tc>
          <w:tcPr>
            <w:tcW w:w="1297" w:type="dxa"/>
          </w:tcPr>
          <w:p w:rsidR="00F14AF0" w:rsidRPr="00DC1A6D" w:rsidRDefault="00DC1A6D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63</w:t>
            </w:r>
          </w:p>
        </w:tc>
        <w:tc>
          <w:tcPr>
            <w:tcW w:w="1083" w:type="dxa"/>
          </w:tcPr>
          <w:p w:rsidR="00F14AF0" w:rsidRPr="00DC1A6D" w:rsidRDefault="004F37F4" w:rsidP="00524FD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902</w:t>
            </w:r>
          </w:p>
        </w:tc>
        <w:tc>
          <w:tcPr>
            <w:tcW w:w="1212" w:type="dxa"/>
          </w:tcPr>
          <w:p w:rsidR="00F14AF0" w:rsidRPr="00DC1A6D" w:rsidRDefault="00DC1A6D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</w:p>
        </w:tc>
        <w:tc>
          <w:tcPr>
            <w:tcW w:w="1491" w:type="dxa"/>
          </w:tcPr>
          <w:p w:rsidR="00F14AF0" w:rsidRPr="00DC1A6D" w:rsidRDefault="00F55602" w:rsidP="00DC1A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874</w:t>
            </w:r>
          </w:p>
        </w:tc>
        <w:tc>
          <w:tcPr>
            <w:tcW w:w="1041" w:type="dxa"/>
          </w:tcPr>
          <w:p w:rsidR="00F14AF0" w:rsidRPr="00DC1A6D" w:rsidRDefault="004F37F4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38</w:t>
            </w:r>
          </w:p>
        </w:tc>
      </w:tr>
    </w:tbl>
    <w:p w:rsidR="00330E78" w:rsidRDefault="00330E78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</w:p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DA0FF7" w:rsidRDefault="00DA0FF7" w:rsidP="000C26E7">
      <w:pPr>
        <w:ind w:left="-284"/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0C26E7" w:rsidRPr="00CA059E" w:rsidRDefault="000C26E7" w:rsidP="000C26E7">
      <w:pPr>
        <w:ind w:left="-284"/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0C26E7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ind w:left="-284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8D3C69">
        <w:rPr>
          <w:rFonts w:ascii="Calibri" w:hAnsi="Calibri" w:cs="Calibri"/>
          <w:bCs w:val="0"/>
          <w:color w:val="auto"/>
          <w:lang w:val="el-GR"/>
        </w:rPr>
        <w:t>ΔΕΚΕ</w:t>
      </w:r>
      <w:r w:rsidR="0075532A">
        <w:rPr>
          <w:rFonts w:ascii="Calibri" w:hAnsi="Calibri" w:cs="Calibri"/>
          <w:bCs w:val="0"/>
          <w:color w:val="auto"/>
          <w:lang w:val="el-GR"/>
        </w:rPr>
        <w:t>Μ</w:t>
      </w:r>
      <w:r w:rsidR="00060B8F">
        <w:rPr>
          <w:rFonts w:ascii="Calibri" w:hAnsi="Calibri" w:cs="Calibri"/>
          <w:bCs w:val="0"/>
          <w:color w:val="auto"/>
          <w:lang w:val="el-GR"/>
        </w:rPr>
        <w:t>ΒΡΙΟΣ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0C26E7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ind w:left="-284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D96D8E" w:rsidRDefault="0032022C" w:rsidP="000C26E7">
      <w:pPr>
        <w:tabs>
          <w:tab w:val="left" w:pos="4770"/>
        </w:tabs>
        <w:spacing w:after="200" w:line="276" w:lineRule="auto"/>
        <w:ind w:left="-284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D96D8E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D96D8E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D96D8E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D96D8E" w:rsidRDefault="00A25E37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D96D8E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D96D8E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D96D8E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D96D8E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D96D8E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D96D8E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D96D8E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CA059E">
        <w:rPr>
          <w:rFonts w:asciiTheme="minorHAnsi" w:hAnsiTheme="minorHAnsi" w:cs="Arial"/>
          <w:b w:val="0"/>
          <w:color w:val="auto"/>
          <w:lang w:val="el-GR"/>
        </w:rPr>
        <w:t>Δεκέ</w:t>
      </w:r>
      <w:r w:rsidR="00907A13">
        <w:rPr>
          <w:rFonts w:asciiTheme="minorHAnsi" w:hAnsiTheme="minorHAnsi" w:cs="Arial"/>
          <w:b w:val="0"/>
          <w:color w:val="auto"/>
          <w:lang w:val="el-GR"/>
        </w:rPr>
        <w:t>μβριο</w:t>
      </w:r>
      <w:r w:rsidR="005F7CD3"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D96D8E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D96D8E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 w:rsidRPr="00D96D8E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D96D8E">
        <w:rPr>
          <w:rFonts w:asciiTheme="minorHAnsi" w:hAnsiTheme="minorHAnsi" w:cs="Arial"/>
          <w:b w:val="0"/>
          <w:color w:val="auto"/>
          <w:lang w:val="el-GR"/>
        </w:rPr>
        <w:t>1.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>3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69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D96D8E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751</w:t>
      </w:r>
      <w:r w:rsidR="00BF2000"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AA266F">
        <w:rPr>
          <w:rFonts w:asciiTheme="minorHAnsi" w:hAnsiTheme="minorHAnsi" w:cs="Arial"/>
          <w:b w:val="0"/>
          <w:color w:val="auto"/>
          <w:lang w:val="el-GR"/>
        </w:rPr>
        <w:t>35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,4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>.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7053CA" w:rsidRPr="007053CA">
        <w:rPr>
          <w:rFonts w:asciiTheme="minorHAnsi" w:hAnsiTheme="minorHAnsi" w:cs="Arial"/>
          <w:b w:val="0"/>
          <w:color w:val="auto"/>
          <w:lang w:val="el-GR"/>
        </w:rPr>
        <w:t>9</w:t>
      </w:r>
      <w:bookmarkStart w:id="2" w:name="_GoBack"/>
      <w:bookmarkEnd w:id="2"/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="00D96D8E">
        <w:rPr>
          <w:rFonts w:asciiTheme="minorHAnsi" w:hAnsiTheme="minorHAnsi" w:cs="Arial"/>
          <w:b w:val="0"/>
          <w:color w:val="auto"/>
          <w:lang w:val="el-GR"/>
        </w:rPr>
        <w:t>παρουσίασε μικρή αύξηση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32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 xml:space="preserve"> άτομα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D96D8E">
        <w:rPr>
          <w:rFonts w:asciiTheme="minorHAnsi" w:hAnsiTheme="minorHAnsi" w:cs="Arial"/>
          <w:b w:val="0"/>
          <w:color w:val="auto"/>
          <w:lang w:val="el-GR"/>
        </w:rPr>
        <w:t>26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D96D8E">
        <w:rPr>
          <w:rFonts w:asciiTheme="minorHAnsi" w:hAnsiTheme="minorHAnsi" w:cs="Arial"/>
          <w:b w:val="0"/>
          <w:color w:val="auto"/>
          <w:lang w:val="el-GR"/>
        </w:rPr>
        <w:t>3.</w:t>
      </w:r>
      <w:r w:rsidR="00907A13">
        <w:rPr>
          <w:rFonts w:asciiTheme="minorHAnsi" w:hAnsiTheme="minorHAnsi" w:cs="Arial"/>
          <w:b w:val="0"/>
          <w:color w:val="auto"/>
          <w:lang w:val="el-GR"/>
        </w:rPr>
        <w:t>1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73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Δεκέμβριο</w:t>
      </w:r>
      <w:r w:rsidR="00907A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129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3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,9%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907A13">
        <w:rPr>
          <w:rFonts w:asciiTheme="minorHAnsi" w:hAnsiTheme="minorHAnsi" w:cs="Arial"/>
          <w:b w:val="0"/>
          <w:color w:val="auto"/>
          <w:lang w:val="el-GR"/>
        </w:rPr>
        <w:t>0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αύξηση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39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0C26E7">
      <w:pPr>
        <w:spacing w:after="200"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0C26E7">
      <w:pPr>
        <w:spacing w:line="276" w:lineRule="auto"/>
        <w:ind w:left="-284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F579E3" w:rsidRDefault="00E27309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F579E3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F85406" w:rsidRPr="00F85406">
        <w:rPr>
          <w:rFonts w:ascii="Calibri" w:eastAsia="MS Mincho" w:hAnsi="Calibri" w:cs="Arial"/>
          <w:b w:val="0"/>
          <w:bCs w:val="0"/>
          <w:color w:val="auto"/>
          <w:lang w:val="el-GR"/>
        </w:rPr>
        <w:t>33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7A644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40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F85406" w:rsidRPr="00F85406">
        <w:rPr>
          <w:rFonts w:ascii="Calibri" w:eastAsia="MS Mincho" w:hAnsi="Calibri" w:cs="Arial"/>
          <w:b w:val="0"/>
          <w:bCs w:val="0"/>
          <w:color w:val="auto"/>
          <w:lang w:val="el-GR"/>
        </w:rPr>
        <w:t>18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A12436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85406" w:rsidRPr="00F85406">
        <w:rPr>
          <w:rFonts w:ascii="Calibri" w:eastAsia="MS Mincho" w:hAnsi="Calibri" w:cs="Arial"/>
          <w:b w:val="0"/>
          <w:bCs w:val="0"/>
          <w:color w:val="auto"/>
          <w:lang w:val="el-GR"/>
        </w:rPr>
        <w:t>20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A12436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7A644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F85406" w:rsidRPr="00F85406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="00CD058B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BF2000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A644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="00336CEB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457EC6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4B1816" w:rsidRDefault="00E7707C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4B1816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4B1816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300</w:t>
      </w:r>
      <w:r w:rsidR="00757B66" w:rsidRPr="004B1816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οι ανειδίκευτοι εργάτες, χειρωνάκτες και μικροεπαγγελματίες (</w:t>
      </w:r>
      <w:r w:rsidR="00797E0D" w:rsidRPr="004B1816">
        <w:rPr>
          <w:rFonts w:asciiTheme="minorHAnsi" w:hAnsiTheme="minorHAnsi" w:cs="Arial"/>
          <w:b w:val="0"/>
          <w:color w:val="auto"/>
          <w:lang w:val="el-GR"/>
        </w:rPr>
        <w:t>2</w:t>
      </w:r>
      <w:r w:rsidR="00F579E3" w:rsidRPr="004B1816">
        <w:rPr>
          <w:rFonts w:asciiTheme="minorHAnsi" w:hAnsiTheme="minorHAnsi" w:cs="Arial"/>
          <w:b w:val="0"/>
          <w:color w:val="auto"/>
          <w:lang w:val="el-GR"/>
        </w:rPr>
        <w:t>5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3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 w:rsidRPr="004B1816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(2</w:t>
      </w:r>
      <w:r w:rsidR="007A6444" w:rsidRPr="004B1816">
        <w:rPr>
          <w:rFonts w:asciiTheme="minorHAnsi" w:hAnsiTheme="minorHAnsi" w:cs="Arial"/>
          <w:b w:val="0"/>
          <w:color w:val="auto"/>
          <w:lang w:val="el-GR"/>
        </w:rPr>
        <w:t>2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4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lastRenderedPageBreak/>
        <w:t>άτομα)</w:t>
      </w:r>
      <w:r w:rsidR="007B4ED7" w:rsidRPr="004B1816">
        <w:rPr>
          <w:rFonts w:asciiTheme="minorHAnsi" w:hAnsiTheme="minorHAnsi" w:cs="Arial"/>
          <w:b w:val="0"/>
          <w:color w:val="auto"/>
          <w:lang w:val="el-GR"/>
        </w:rPr>
        <w:t xml:space="preserve"> και οι απασχολούμενοι στην παροχή υπηρεσιών και πωλητές (2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16</w:t>
      </w:r>
      <w:r w:rsidR="007B4ED7" w:rsidRPr="004B1816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4B1816">
        <w:rPr>
          <w:rFonts w:asciiTheme="minorHAnsi" w:hAnsiTheme="minorHAnsi" w:cs="Arial"/>
          <w:b w:val="0"/>
          <w:color w:val="auto"/>
          <w:lang w:val="el-GR"/>
        </w:rPr>
        <w:t>28</w:t>
      </w: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141F64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141F64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τομέα του εμπορίου (2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51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8,3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>%), στους νεοεισερχόμενους (2</w:t>
      </w:r>
      <w:r w:rsidR="00141F64" w:rsidRPr="00141F64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16,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>%),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88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A24708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141F64" w:rsidRPr="00141F64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,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7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141F64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της δημόσιας διοίκησης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55</w:t>
      </w:r>
      <w:r w:rsidR="001737AF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1,3</w:t>
      </w:r>
      <w:r w:rsidR="0085714F" w:rsidRPr="00141F64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141F64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141F64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5A69C5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5A69C5">
        <w:rPr>
          <w:rFonts w:asciiTheme="minorHAnsi" w:hAnsiTheme="minorHAnsi" w:cs="Arial"/>
          <w:color w:val="auto"/>
          <w:lang w:val="el-GR"/>
        </w:rPr>
        <w:t>Ελληνοκύπριοι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5A69C5">
        <w:rPr>
          <w:rFonts w:asciiTheme="minorHAnsi" w:hAnsiTheme="minorHAnsi" w:cs="Arial"/>
          <w:b w:val="0"/>
          <w:color w:val="auto"/>
          <w:lang w:val="el-GR"/>
        </w:rPr>
        <w:t>1.</w:t>
      </w:r>
      <w:r w:rsidR="005A69C5" w:rsidRPr="005A69C5">
        <w:rPr>
          <w:rFonts w:asciiTheme="minorHAnsi" w:hAnsiTheme="minorHAnsi" w:cs="Arial"/>
          <w:b w:val="0"/>
          <w:color w:val="auto"/>
          <w:lang w:val="el-GR"/>
        </w:rPr>
        <w:t>0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80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79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τα άτομα με καθεστώς συμπληρωματικής προστασίας (με </w:t>
      </w:r>
      <w:r w:rsidR="00F124B5" w:rsidRPr="00F124B5">
        <w:rPr>
          <w:rFonts w:asciiTheme="minorHAnsi" w:hAnsiTheme="minorHAnsi" w:cs="Arial"/>
          <w:b w:val="0"/>
          <w:color w:val="auto"/>
          <w:lang w:val="el-GR"/>
        </w:rPr>
        <w:t>10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7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F579E3">
        <w:rPr>
          <w:rFonts w:asciiTheme="minorHAnsi" w:hAnsiTheme="minorHAnsi" w:cs="Arial"/>
          <w:b w:val="0"/>
          <w:color w:val="auto"/>
          <w:lang w:val="el-GR"/>
        </w:rPr>
        <w:t>7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9</w:t>
      </w:r>
      <w:r w:rsidR="00981BE7" w:rsidRPr="005A69C5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6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%) και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5A69C5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D0EFE">
        <w:rPr>
          <w:rFonts w:asciiTheme="minorHAnsi" w:hAnsiTheme="minorHAnsi" w:cs="Arial"/>
          <w:b w:val="0"/>
          <w:color w:val="auto"/>
          <w:lang w:val="el-GR"/>
        </w:rPr>
        <w:t>3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2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5A69C5">
        <w:rPr>
          <w:rFonts w:asciiTheme="minorHAnsi" w:hAnsiTheme="minorHAnsi" w:cs="Arial"/>
          <w:b w:val="0"/>
          <w:color w:val="auto"/>
          <w:lang w:val="el-GR"/>
        </w:rPr>
        <w:t>30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5A69C5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86EC0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F579E3">
        <w:rPr>
          <w:rFonts w:asciiTheme="minorHAnsi" w:hAnsiTheme="minorHAnsi" w:cs="Arial"/>
          <w:b w:val="0"/>
          <w:color w:val="auto"/>
          <w:lang w:val="el-GR"/>
        </w:rPr>
        <w:t>7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9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2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9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F124B5" w:rsidRPr="00086EC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F124B5">
        <w:rPr>
          <w:rFonts w:asciiTheme="minorHAnsi" w:hAnsiTheme="minorHAnsi" w:cs="Arial"/>
          <w:b w:val="0"/>
          <w:color w:val="auto"/>
          <w:lang w:val="el-GR"/>
        </w:rPr>
        <w:t>1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5</w:t>
      </w:r>
      <w:r w:rsidR="00F124B5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4B1816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4B1816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4B1816">
        <w:rPr>
          <w:rFonts w:asciiTheme="minorHAnsi" w:hAnsiTheme="minorHAnsi" w:cs="Arial"/>
          <w:b w:val="0"/>
          <w:color w:val="auto"/>
          <w:lang w:val="el-GR"/>
        </w:rPr>
        <w:t>13</w:t>
      </w:r>
      <w:r w:rsidR="004B1816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0C26E7">
      <w:pPr>
        <w:ind w:left="-284"/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CA059E" w:rsidRDefault="009024D8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0C26E7">
        <w:rPr>
          <w:rFonts w:ascii="Calibri" w:eastAsia="MS Mincho" w:hAnsi="Calibri" w:cs="Arial"/>
          <w:bCs w:val="0"/>
          <w:color w:val="auto"/>
          <w:lang w:val="el-GR"/>
        </w:rPr>
        <w:t>Ιανουάριος</w:t>
      </w:r>
      <w:r w:rsidR="000C26E7" w:rsidRPr="00CA059E">
        <w:rPr>
          <w:rFonts w:ascii="Calibri" w:eastAsia="MS Mincho" w:hAnsi="Calibri" w:cs="Arial"/>
          <w:bCs w:val="0"/>
          <w:color w:val="auto"/>
          <w:lang w:val="el-GR"/>
        </w:rPr>
        <w:t xml:space="preserve"> 2023</w:t>
      </w:r>
    </w:p>
    <w:p w:rsidR="00E27309" w:rsidRPr="00CA059E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CA059E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CA059E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CA059E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CA059E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CA059E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CA059E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CA059E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CA059E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CA059E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9E2E51" w:rsidRPr="00CA059E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0C26E7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0C26E7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0C26E7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0C26E7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figures\December 2022\ΚΕΦΑΛΑΙΟ Ι  ΙΙ December 2022.docx</w:t>
      </w:r>
      <w:r w:rsidR="000C26E7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6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1C" w:rsidRDefault="00DE731C">
      <w:r>
        <w:separator/>
      </w:r>
    </w:p>
  </w:endnote>
  <w:endnote w:type="continuationSeparator" w:id="0">
    <w:p w:rsidR="00DE731C" w:rsidRDefault="00D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1C" w:rsidRDefault="00DE731C">
      <w:r>
        <w:separator/>
      </w:r>
    </w:p>
  </w:footnote>
  <w:footnote w:type="continuationSeparator" w:id="0">
    <w:p w:rsidR="00DE731C" w:rsidRDefault="00DE731C">
      <w:r>
        <w:continuationSeparator/>
      </w:r>
    </w:p>
  </w:footnote>
  <w:footnote w:id="1">
    <w:p w:rsidR="006C5A1E" w:rsidRPr="006435EB" w:rsidRDefault="006C5A1E" w:rsidP="006C5A1E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6C5A1E" w:rsidRPr="006435EB" w:rsidRDefault="006C5A1E" w:rsidP="006C5A1E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>
        <w:rPr>
          <w:rFonts w:ascii="Calibri" w:hAnsi="Calibri" w:cs="Calibri"/>
          <w:sz w:val="18"/>
          <w:lang w:val="el-GR"/>
        </w:rPr>
        <w:t>2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22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67766A" w:rsidRPr="00887DBA" w:rsidRDefault="0067766A" w:rsidP="0067766A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6E9"/>
    <w:multiLevelType w:val="hybridMultilevel"/>
    <w:tmpl w:val="C592EBB2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0B0ECF"/>
    <w:multiLevelType w:val="hybridMultilevel"/>
    <w:tmpl w:val="97B6AB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053"/>
    <w:multiLevelType w:val="hybridMultilevel"/>
    <w:tmpl w:val="F482D8FA"/>
    <w:lvl w:ilvl="0" w:tplc="BE90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067"/>
    <w:multiLevelType w:val="hybridMultilevel"/>
    <w:tmpl w:val="57FA8F0A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4AB4"/>
    <w:multiLevelType w:val="hybridMultilevel"/>
    <w:tmpl w:val="4998C4E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3843"/>
    <w:multiLevelType w:val="hybridMultilevel"/>
    <w:tmpl w:val="60E6B1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40A2F"/>
    <w:multiLevelType w:val="hybridMultilevel"/>
    <w:tmpl w:val="08E6C22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036C"/>
    <w:multiLevelType w:val="hybridMultilevel"/>
    <w:tmpl w:val="9ABE0D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8B25405"/>
    <w:multiLevelType w:val="hybridMultilevel"/>
    <w:tmpl w:val="021642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64D78"/>
    <w:multiLevelType w:val="hybridMultilevel"/>
    <w:tmpl w:val="65445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F0486"/>
    <w:multiLevelType w:val="hybridMultilevel"/>
    <w:tmpl w:val="5A1409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8"/>
  </w:num>
  <w:num w:numId="4">
    <w:abstractNumId w:val="11"/>
  </w:num>
  <w:num w:numId="5">
    <w:abstractNumId w:val="0"/>
  </w:num>
  <w:num w:numId="6">
    <w:abstractNumId w:val="29"/>
  </w:num>
  <w:num w:numId="7">
    <w:abstractNumId w:val="38"/>
  </w:num>
  <w:num w:numId="8">
    <w:abstractNumId w:val="21"/>
  </w:num>
  <w:num w:numId="9">
    <w:abstractNumId w:val="2"/>
  </w:num>
  <w:num w:numId="10">
    <w:abstractNumId w:val="7"/>
  </w:num>
  <w:num w:numId="11">
    <w:abstractNumId w:val="13"/>
  </w:num>
  <w:num w:numId="12">
    <w:abstractNumId w:val="36"/>
  </w:num>
  <w:num w:numId="13">
    <w:abstractNumId w:val="33"/>
  </w:num>
  <w:num w:numId="14">
    <w:abstractNumId w:val="39"/>
  </w:num>
  <w:num w:numId="15">
    <w:abstractNumId w:val="1"/>
  </w:num>
  <w:num w:numId="16">
    <w:abstractNumId w:val="3"/>
  </w:num>
  <w:num w:numId="17">
    <w:abstractNumId w:val="27"/>
  </w:num>
  <w:num w:numId="18">
    <w:abstractNumId w:val="16"/>
  </w:num>
  <w:num w:numId="19">
    <w:abstractNumId w:val="9"/>
  </w:num>
  <w:num w:numId="20">
    <w:abstractNumId w:val="41"/>
  </w:num>
  <w:num w:numId="21">
    <w:abstractNumId w:val="22"/>
  </w:num>
  <w:num w:numId="22">
    <w:abstractNumId w:val="40"/>
  </w:num>
  <w:num w:numId="23">
    <w:abstractNumId w:val="17"/>
  </w:num>
  <w:num w:numId="24">
    <w:abstractNumId w:val="31"/>
  </w:num>
  <w:num w:numId="25">
    <w:abstractNumId w:val="34"/>
  </w:num>
  <w:num w:numId="26">
    <w:abstractNumId w:val="15"/>
  </w:num>
  <w:num w:numId="27">
    <w:abstractNumId w:val="43"/>
  </w:num>
  <w:num w:numId="28">
    <w:abstractNumId w:val="30"/>
  </w:num>
  <w:num w:numId="29">
    <w:abstractNumId w:val="18"/>
  </w:num>
  <w:num w:numId="30">
    <w:abstractNumId w:val="19"/>
  </w:num>
  <w:num w:numId="31">
    <w:abstractNumId w:val="12"/>
  </w:num>
  <w:num w:numId="32">
    <w:abstractNumId w:val="37"/>
  </w:num>
  <w:num w:numId="33">
    <w:abstractNumId w:val="42"/>
  </w:num>
  <w:num w:numId="34">
    <w:abstractNumId w:val="25"/>
  </w:num>
  <w:num w:numId="35">
    <w:abstractNumId w:val="14"/>
  </w:num>
  <w:num w:numId="36">
    <w:abstractNumId w:val="32"/>
  </w:num>
  <w:num w:numId="37">
    <w:abstractNumId w:val="35"/>
  </w:num>
  <w:num w:numId="38">
    <w:abstractNumId w:val="10"/>
  </w:num>
  <w:num w:numId="39">
    <w:abstractNumId w:val="28"/>
  </w:num>
  <w:num w:numId="40">
    <w:abstractNumId w:val="24"/>
  </w:num>
  <w:num w:numId="41">
    <w:abstractNumId w:val="6"/>
  </w:num>
  <w:num w:numId="42">
    <w:abstractNumId w:val="23"/>
  </w:num>
  <w:num w:numId="43">
    <w:abstractNumId w:val="4"/>
  </w:num>
  <w:num w:numId="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26B"/>
    <w:rsid w:val="00012D07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65C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912"/>
    <w:rsid w:val="00034EF0"/>
    <w:rsid w:val="00035661"/>
    <w:rsid w:val="00036248"/>
    <w:rsid w:val="000364C5"/>
    <w:rsid w:val="00036556"/>
    <w:rsid w:val="00036665"/>
    <w:rsid w:val="00037994"/>
    <w:rsid w:val="00037B69"/>
    <w:rsid w:val="00040C24"/>
    <w:rsid w:val="00041917"/>
    <w:rsid w:val="00042210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0B8F"/>
    <w:rsid w:val="0006109F"/>
    <w:rsid w:val="00061E5D"/>
    <w:rsid w:val="00062264"/>
    <w:rsid w:val="000629AF"/>
    <w:rsid w:val="00062D35"/>
    <w:rsid w:val="00062DAE"/>
    <w:rsid w:val="0006343C"/>
    <w:rsid w:val="00063512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0F8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6E7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469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1F72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1D1F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268D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1F64"/>
    <w:rsid w:val="001420ED"/>
    <w:rsid w:val="00142DD8"/>
    <w:rsid w:val="00143486"/>
    <w:rsid w:val="00143530"/>
    <w:rsid w:val="0014359D"/>
    <w:rsid w:val="00143A1F"/>
    <w:rsid w:val="00144307"/>
    <w:rsid w:val="00144661"/>
    <w:rsid w:val="001447F5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4185"/>
    <w:rsid w:val="001A57A7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0438"/>
    <w:rsid w:val="001D076A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515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5D0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B30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17A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4D56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CFC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C37"/>
    <w:rsid w:val="00285D46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2A5"/>
    <w:rsid w:val="002946F7"/>
    <w:rsid w:val="002947DF"/>
    <w:rsid w:val="00294F1B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BDF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1751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509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834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019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2D95"/>
    <w:rsid w:val="003230A8"/>
    <w:rsid w:val="0032314D"/>
    <w:rsid w:val="00323510"/>
    <w:rsid w:val="003238BA"/>
    <w:rsid w:val="00323A07"/>
    <w:rsid w:val="0032436A"/>
    <w:rsid w:val="003247A1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E78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4B3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3B9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6910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1FB6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6DC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7E4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BB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57EC6"/>
    <w:rsid w:val="0046072E"/>
    <w:rsid w:val="00460B4E"/>
    <w:rsid w:val="00460BD2"/>
    <w:rsid w:val="00460F88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595E"/>
    <w:rsid w:val="004662C4"/>
    <w:rsid w:val="004663BB"/>
    <w:rsid w:val="0046722B"/>
    <w:rsid w:val="004674A6"/>
    <w:rsid w:val="00467942"/>
    <w:rsid w:val="00467998"/>
    <w:rsid w:val="00467CA2"/>
    <w:rsid w:val="004707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24F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873C7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816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37F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04DE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4FDB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0C64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2CBA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91D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0D1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0D2B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69C5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4E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0EFE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853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5F7CD3"/>
    <w:rsid w:val="00601A21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6DF5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524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4D7F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A"/>
    <w:rsid w:val="0067766F"/>
    <w:rsid w:val="00677961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1E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3CA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014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6C4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32A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0D3E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6444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2FC"/>
    <w:rsid w:val="007B461C"/>
    <w:rsid w:val="007B4DCB"/>
    <w:rsid w:val="007B4ED7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A48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886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567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6F83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BF9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C7D"/>
    <w:rsid w:val="00881E82"/>
    <w:rsid w:val="00882204"/>
    <w:rsid w:val="00882CAB"/>
    <w:rsid w:val="00882CE8"/>
    <w:rsid w:val="008831B2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42FB"/>
    <w:rsid w:val="00895271"/>
    <w:rsid w:val="00896DE2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B3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4DF2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920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3C69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07A13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20A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EF9"/>
    <w:rsid w:val="00945F0A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A51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747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5DD0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1D3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110"/>
    <w:rsid w:val="009D0B2B"/>
    <w:rsid w:val="009D0E9C"/>
    <w:rsid w:val="009D1028"/>
    <w:rsid w:val="009D1627"/>
    <w:rsid w:val="009D17E1"/>
    <w:rsid w:val="009D1D89"/>
    <w:rsid w:val="009D1FCD"/>
    <w:rsid w:val="009D2334"/>
    <w:rsid w:val="009D25CC"/>
    <w:rsid w:val="009D2B75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19C8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436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3FAA"/>
    <w:rsid w:val="00A24708"/>
    <w:rsid w:val="00A2505C"/>
    <w:rsid w:val="00A259E8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399"/>
    <w:rsid w:val="00A53506"/>
    <w:rsid w:val="00A5388E"/>
    <w:rsid w:val="00A5482E"/>
    <w:rsid w:val="00A54D17"/>
    <w:rsid w:val="00A5512A"/>
    <w:rsid w:val="00A55AEC"/>
    <w:rsid w:val="00A55BCB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1CC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9E6"/>
    <w:rsid w:val="00A91C68"/>
    <w:rsid w:val="00A920B7"/>
    <w:rsid w:val="00A92F09"/>
    <w:rsid w:val="00A93B11"/>
    <w:rsid w:val="00A9431B"/>
    <w:rsid w:val="00A94753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6F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D78C0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0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DD6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226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417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15C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120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0BE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000"/>
    <w:rsid w:val="00BF2936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68D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1CD9"/>
    <w:rsid w:val="00C522A5"/>
    <w:rsid w:val="00C529BA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59E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3A6B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6AFA"/>
    <w:rsid w:val="00CB72A8"/>
    <w:rsid w:val="00CB75BD"/>
    <w:rsid w:val="00CC01D7"/>
    <w:rsid w:val="00CC0D45"/>
    <w:rsid w:val="00CC0E09"/>
    <w:rsid w:val="00CC1286"/>
    <w:rsid w:val="00CC14B7"/>
    <w:rsid w:val="00CC165F"/>
    <w:rsid w:val="00CC1BFF"/>
    <w:rsid w:val="00CC2664"/>
    <w:rsid w:val="00CC33A2"/>
    <w:rsid w:val="00CC4132"/>
    <w:rsid w:val="00CC4A45"/>
    <w:rsid w:val="00CC4B88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58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6B5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2D1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9FA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6D8E"/>
    <w:rsid w:val="00D972B2"/>
    <w:rsid w:val="00D97B94"/>
    <w:rsid w:val="00D97C22"/>
    <w:rsid w:val="00D97E48"/>
    <w:rsid w:val="00DA0755"/>
    <w:rsid w:val="00DA0FF7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57C"/>
    <w:rsid w:val="00DB26DB"/>
    <w:rsid w:val="00DB28CE"/>
    <w:rsid w:val="00DB2906"/>
    <w:rsid w:val="00DB2EF1"/>
    <w:rsid w:val="00DB34E3"/>
    <w:rsid w:val="00DB3871"/>
    <w:rsid w:val="00DB440D"/>
    <w:rsid w:val="00DB4675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DA3"/>
    <w:rsid w:val="00DB7FC5"/>
    <w:rsid w:val="00DC0471"/>
    <w:rsid w:val="00DC072C"/>
    <w:rsid w:val="00DC18F8"/>
    <w:rsid w:val="00DC1989"/>
    <w:rsid w:val="00DC1A6D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31C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0130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5977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58A"/>
    <w:rsid w:val="00E417D2"/>
    <w:rsid w:val="00E418A3"/>
    <w:rsid w:val="00E41923"/>
    <w:rsid w:val="00E41F99"/>
    <w:rsid w:val="00E4295A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2B1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61C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AF5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3DEE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098E"/>
    <w:rsid w:val="00F11604"/>
    <w:rsid w:val="00F11946"/>
    <w:rsid w:val="00F11BA4"/>
    <w:rsid w:val="00F12362"/>
    <w:rsid w:val="00F12366"/>
    <w:rsid w:val="00F124B5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04A9"/>
    <w:rsid w:val="00F21210"/>
    <w:rsid w:val="00F218AC"/>
    <w:rsid w:val="00F21944"/>
    <w:rsid w:val="00F21A33"/>
    <w:rsid w:val="00F22838"/>
    <w:rsid w:val="00F2290C"/>
    <w:rsid w:val="00F22BBA"/>
    <w:rsid w:val="00F22C8C"/>
    <w:rsid w:val="00F24C13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02"/>
    <w:rsid w:val="00F556CE"/>
    <w:rsid w:val="00F55B1C"/>
    <w:rsid w:val="00F56513"/>
    <w:rsid w:val="00F56BCF"/>
    <w:rsid w:val="00F56E13"/>
    <w:rsid w:val="00F56E84"/>
    <w:rsid w:val="00F57265"/>
    <w:rsid w:val="00F579E3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A53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9D9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06"/>
    <w:rsid w:val="00F8542C"/>
    <w:rsid w:val="00F8557C"/>
    <w:rsid w:val="00F8579E"/>
    <w:rsid w:val="00F864F6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2CB5"/>
    <w:rsid w:val="00F932F1"/>
    <w:rsid w:val="00F93427"/>
    <w:rsid w:val="00F93954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30A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67B4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5A3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A08F9"/>
  <w15:docId w15:val="{A780BFB7-0BBF-431C-9FCA-B7BA017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B3B70"/>
  </w:style>
  <w:style w:type="paragraph" w:styleId="Header">
    <w:name w:val="header"/>
    <w:basedOn w:val="Normal"/>
    <w:link w:val="HeaderChar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C5A1E"/>
  </w:style>
  <w:style w:type="paragraph" w:customStyle="1" w:styleId="msolistparagraph0">
    <w:name w:val="msolistparagraph"/>
    <w:basedOn w:val="Normal"/>
    <w:rsid w:val="006C5A1E"/>
    <w:pPr>
      <w:ind w:left="720"/>
    </w:pPr>
    <w:rPr>
      <w:rFonts w:eastAsia="Calibri"/>
    </w:rPr>
  </w:style>
  <w:style w:type="character" w:customStyle="1" w:styleId="TitleChar1">
    <w:name w:val="Title Char1"/>
    <w:locked/>
    <w:rsid w:val="006C5A1E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table" w:customStyle="1" w:styleId="TableGrid2">
    <w:name w:val="Table Grid2"/>
    <w:basedOn w:val="TableNormal"/>
    <w:next w:val="TableGrid"/>
    <w:locked/>
    <w:rsid w:val="006C5A1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(σύνολο και κατά φύλο) τους τελευταίους 12 μήνες </a:t>
            </a:r>
            <a:endParaRPr lang="en-US" sz="1200"/>
          </a:p>
        </c:rich>
      </c:tx>
      <c:layout>
        <c:manualLayout>
          <c:xMode val="edge"/>
          <c:yMode val="edge"/>
          <c:x val="0.27084499596561029"/>
          <c:y val="2.92801565484787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521258649457014"/>
          <c:w val="0.72146844230626983"/>
          <c:h val="0.46445679231228032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'!$A$61:$B$73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'total and gender '!$D$61:$D$73</c:f>
              <c:numCache>
                <c:formatCode>#,##0</c:formatCode>
                <c:ptCount val="13"/>
                <c:pt idx="0">
                  <c:v>6713</c:v>
                </c:pt>
                <c:pt idx="1">
                  <c:v>7084</c:v>
                </c:pt>
                <c:pt idx="2">
                  <c:v>6987</c:v>
                </c:pt>
                <c:pt idx="3">
                  <c:v>6362</c:v>
                </c:pt>
                <c:pt idx="4">
                  <c:v>5406</c:v>
                </c:pt>
                <c:pt idx="5">
                  <c:v>4893</c:v>
                </c:pt>
                <c:pt idx="6">
                  <c:v>5029</c:v>
                </c:pt>
                <c:pt idx="7">
                  <c:v>5244</c:v>
                </c:pt>
                <c:pt idx="8">
                  <c:v>5483</c:v>
                </c:pt>
                <c:pt idx="9">
                  <c:v>5172</c:v>
                </c:pt>
                <c:pt idx="10">
                  <c:v>5101</c:v>
                </c:pt>
                <c:pt idx="11">
                  <c:v>6893</c:v>
                </c:pt>
                <c:pt idx="12">
                  <c:v>7339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FB-400B-A937-210D0857E5A2}"/>
            </c:ext>
          </c:extLst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'!$A$61:$B$73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'total and gender '!$E$61:$E$73</c:f>
              <c:numCache>
                <c:formatCode>#,##0</c:formatCode>
                <c:ptCount val="13"/>
                <c:pt idx="0">
                  <c:v>8087</c:v>
                </c:pt>
                <c:pt idx="1">
                  <c:v>8346</c:v>
                </c:pt>
                <c:pt idx="2">
                  <c:v>8377</c:v>
                </c:pt>
                <c:pt idx="3">
                  <c:v>7456</c:v>
                </c:pt>
                <c:pt idx="4">
                  <c:v>6258</c:v>
                </c:pt>
                <c:pt idx="5">
                  <c:v>5693</c:v>
                </c:pt>
                <c:pt idx="6">
                  <c:v>7303</c:v>
                </c:pt>
                <c:pt idx="7">
                  <c:v>8901</c:v>
                </c:pt>
                <c:pt idx="8">
                  <c:v>9478</c:v>
                </c:pt>
                <c:pt idx="9">
                  <c:v>6438</c:v>
                </c:pt>
                <c:pt idx="10">
                  <c:v>6082</c:v>
                </c:pt>
                <c:pt idx="11">
                  <c:v>8416</c:v>
                </c:pt>
                <c:pt idx="12">
                  <c:v>8793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FB-400B-A937-210D0857E5A2}"/>
            </c:ext>
          </c:extLst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'!$A$61:$B$73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'total and gender '!$C$61:$C$73</c:f>
              <c:numCache>
                <c:formatCode>#,##0</c:formatCode>
                <c:ptCount val="13"/>
                <c:pt idx="0">
                  <c:v>14800</c:v>
                </c:pt>
                <c:pt idx="1">
                  <c:v>15430</c:v>
                </c:pt>
                <c:pt idx="2">
                  <c:v>15364</c:v>
                </c:pt>
                <c:pt idx="3">
                  <c:v>13818</c:v>
                </c:pt>
                <c:pt idx="4">
                  <c:v>11664</c:v>
                </c:pt>
                <c:pt idx="5">
                  <c:v>10586</c:v>
                </c:pt>
                <c:pt idx="6">
                  <c:v>12332</c:v>
                </c:pt>
                <c:pt idx="7">
                  <c:v>14145</c:v>
                </c:pt>
                <c:pt idx="8">
                  <c:v>14961</c:v>
                </c:pt>
                <c:pt idx="9">
                  <c:v>11610</c:v>
                </c:pt>
                <c:pt idx="10">
                  <c:v>11183</c:v>
                </c:pt>
                <c:pt idx="11">
                  <c:v>15309</c:v>
                </c:pt>
                <c:pt idx="12">
                  <c:v>16132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FB-400B-A937-210D0857E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590016"/>
        <c:axId val="183316480"/>
      </c:lineChart>
      <c:catAx>
        <c:axId val="15359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CY"/>
          </a:p>
        </c:txPr>
        <c:crossAx val="183316480"/>
        <c:crosses val="autoZero"/>
        <c:auto val="1"/>
        <c:lblAlgn val="ctr"/>
        <c:lblOffset val="100"/>
        <c:noMultiLvlLbl val="0"/>
      </c:catAx>
      <c:valAx>
        <c:axId val="183316480"/>
        <c:scaling>
          <c:orientation val="minMax"/>
          <c:max val="3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3590016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CY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'επαρχία '!$BI$3:$BU$3</c:f>
              <c:numCache>
                <c:formatCode>General</c:formatCode>
                <c:ptCount val="13"/>
                <c:pt idx="0">
                  <c:v>3677</c:v>
                </c:pt>
                <c:pt idx="1">
                  <c:v>3764</c:v>
                </c:pt>
                <c:pt idx="2">
                  <c:v>3841</c:v>
                </c:pt>
                <c:pt idx="3">
                  <c:v>3770</c:v>
                </c:pt>
                <c:pt idx="4">
                  <c:v>3730</c:v>
                </c:pt>
                <c:pt idx="5">
                  <c:v>3802</c:v>
                </c:pt>
                <c:pt idx="6">
                  <c:v>4624</c:v>
                </c:pt>
                <c:pt idx="7">
                  <c:v>5320</c:v>
                </c:pt>
                <c:pt idx="8">
                  <c:v>5702</c:v>
                </c:pt>
                <c:pt idx="9">
                  <c:v>4368</c:v>
                </c:pt>
                <c:pt idx="10">
                  <c:v>4105</c:v>
                </c:pt>
                <c:pt idx="11">
                  <c:v>4156</c:v>
                </c:pt>
                <c:pt idx="12">
                  <c:v>4066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11-48B5-B798-BEF0DF14C133}"/>
            </c:ext>
          </c:extLst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'επαρχία '!$BI$4:$BU$4</c:f>
              <c:numCache>
                <c:formatCode>General</c:formatCode>
                <c:ptCount val="13"/>
                <c:pt idx="0">
                  <c:v>3156</c:v>
                </c:pt>
                <c:pt idx="1">
                  <c:v>3211</c:v>
                </c:pt>
                <c:pt idx="2">
                  <c:v>3158</c:v>
                </c:pt>
                <c:pt idx="3">
                  <c:v>2626</c:v>
                </c:pt>
                <c:pt idx="4">
                  <c:v>1453</c:v>
                </c:pt>
                <c:pt idx="5">
                  <c:v>650</c:v>
                </c:pt>
                <c:pt idx="6">
                  <c:v>577</c:v>
                </c:pt>
                <c:pt idx="7">
                  <c:v>656</c:v>
                </c:pt>
                <c:pt idx="8">
                  <c:v>665</c:v>
                </c:pt>
                <c:pt idx="9">
                  <c:v>533</c:v>
                </c:pt>
                <c:pt idx="10">
                  <c:v>635</c:v>
                </c:pt>
                <c:pt idx="11">
                  <c:v>3412</c:v>
                </c:pt>
                <c:pt idx="12">
                  <c:v>3820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11-48B5-B798-BEF0DF14C133}"/>
            </c:ext>
          </c:extLst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'επαρχία '!$BI$5:$BU$5</c:f>
              <c:numCache>
                <c:formatCode>General</c:formatCode>
                <c:ptCount val="13"/>
                <c:pt idx="0">
                  <c:v>2295</c:v>
                </c:pt>
                <c:pt idx="1">
                  <c:v>2461</c:v>
                </c:pt>
                <c:pt idx="2">
                  <c:v>2504</c:v>
                </c:pt>
                <c:pt idx="3">
                  <c:v>2275</c:v>
                </c:pt>
                <c:pt idx="4">
                  <c:v>1917</c:v>
                </c:pt>
                <c:pt idx="5">
                  <c:v>1758</c:v>
                </c:pt>
                <c:pt idx="6">
                  <c:v>2049</c:v>
                </c:pt>
                <c:pt idx="7">
                  <c:v>2409</c:v>
                </c:pt>
                <c:pt idx="8">
                  <c:v>2513</c:v>
                </c:pt>
                <c:pt idx="9">
                  <c:v>2008</c:v>
                </c:pt>
                <c:pt idx="10">
                  <c:v>1921</c:v>
                </c:pt>
                <c:pt idx="11">
                  <c:v>2477</c:v>
                </c:pt>
                <c:pt idx="12">
                  <c:v>2679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11-48B5-B798-BEF0DF14C133}"/>
            </c:ext>
          </c:extLst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'επαρχία '!$BI$6:$BU$6</c:f>
              <c:numCache>
                <c:formatCode>General</c:formatCode>
                <c:ptCount val="13"/>
                <c:pt idx="0">
                  <c:v>3422</c:v>
                </c:pt>
                <c:pt idx="1">
                  <c:v>3521</c:v>
                </c:pt>
                <c:pt idx="2">
                  <c:v>3490</c:v>
                </c:pt>
                <c:pt idx="3">
                  <c:v>3264</c:v>
                </c:pt>
                <c:pt idx="4">
                  <c:v>3069</c:v>
                </c:pt>
                <c:pt idx="5">
                  <c:v>3103</c:v>
                </c:pt>
                <c:pt idx="6">
                  <c:v>3739</c:v>
                </c:pt>
                <c:pt idx="7">
                  <c:v>4330</c:v>
                </c:pt>
                <c:pt idx="8">
                  <c:v>4614</c:v>
                </c:pt>
                <c:pt idx="9">
                  <c:v>3509</c:v>
                </c:pt>
                <c:pt idx="10">
                  <c:v>3324</c:v>
                </c:pt>
                <c:pt idx="11">
                  <c:v>3335</c:v>
                </c:pt>
                <c:pt idx="12">
                  <c:v>3250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11-48B5-B798-BEF0DF14C133}"/>
            </c:ext>
          </c:extLst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Ιουνίος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'επαρχία '!$BI$7:$BU$7</c:f>
              <c:numCache>
                <c:formatCode>General</c:formatCode>
                <c:ptCount val="13"/>
                <c:pt idx="0">
                  <c:v>2250</c:v>
                </c:pt>
                <c:pt idx="1">
                  <c:v>2473</c:v>
                </c:pt>
                <c:pt idx="2">
                  <c:v>2371</c:v>
                </c:pt>
                <c:pt idx="3">
                  <c:v>1883</c:v>
                </c:pt>
                <c:pt idx="4">
                  <c:v>1495</c:v>
                </c:pt>
                <c:pt idx="5">
                  <c:v>1273</c:v>
                </c:pt>
                <c:pt idx="6">
                  <c:v>1343</c:v>
                </c:pt>
                <c:pt idx="7">
                  <c:v>1430</c:v>
                </c:pt>
                <c:pt idx="8">
                  <c:v>1467</c:v>
                </c:pt>
                <c:pt idx="9">
                  <c:v>1192</c:v>
                </c:pt>
                <c:pt idx="10">
                  <c:v>1198</c:v>
                </c:pt>
                <c:pt idx="11">
                  <c:v>1929</c:v>
                </c:pt>
                <c:pt idx="12">
                  <c:v>2317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11-48B5-B798-BEF0DF14C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391232"/>
        <c:axId val="215397120"/>
      </c:lineChart>
      <c:catAx>
        <c:axId val="21539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15397120"/>
        <c:crosses val="autoZero"/>
        <c:auto val="1"/>
        <c:lblAlgn val="ctr"/>
        <c:lblOffset val="100"/>
        <c:noMultiLvlLbl val="0"/>
      </c:catAx>
      <c:valAx>
        <c:axId val="21539712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1539123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'οικονομική '!$AP$25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'οικονομική '!$AX$25:$BJ$25</c:f>
              <c:numCache>
                <c:formatCode>General</c:formatCode>
                <c:ptCount val="13"/>
                <c:pt idx="0">
                  <c:v>2327</c:v>
                </c:pt>
                <c:pt idx="1">
                  <c:v>2364</c:v>
                </c:pt>
                <c:pt idx="2">
                  <c:v>2430</c:v>
                </c:pt>
                <c:pt idx="3">
                  <c:v>2270</c:v>
                </c:pt>
                <c:pt idx="4">
                  <c:v>2079</c:v>
                </c:pt>
                <c:pt idx="5">
                  <c:v>1950</c:v>
                </c:pt>
                <c:pt idx="6">
                  <c:v>1941</c:v>
                </c:pt>
                <c:pt idx="7">
                  <c:v>2022</c:v>
                </c:pt>
                <c:pt idx="8">
                  <c:v>2070</c:v>
                </c:pt>
                <c:pt idx="9">
                  <c:v>2094</c:v>
                </c:pt>
                <c:pt idx="10">
                  <c:v>2031</c:v>
                </c:pt>
                <c:pt idx="11">
                  <c:v>2239</c:v>
                </c:pt>
                <c:pt idx="12">
                  <c:v>2236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65-4916-844C-2F5B3D7C8B41}"/>
            </c:ext>
          </c:extLst>
        </c:ser>
        <c:ser>
          <c:idx val="2"/>
          <c:order val="1"/>
          <c:tx>
            <c:strRef>
              <c:f>'οικονομική '!$AP$26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'οικονομική '!$AX$26:$BJ$26</c:f>
              <c:numCache>
                <c:formatCode>General</c:formatCode>
                <c:ptCount val="13"/>
                <c:pt idx="0">
                  <c:v>2369</c:v>
                </c:pt>
                <c:pt idx="1">
                  <c:v>2485</c:v>
                </c:pt>
                <c:pt idx="2">
                  <c:v>2500</c:v>
                </c:pt>
                <c:pt idx="3">
                  <c:v>2377</c:v>
                </c:pt>
                <c:pt idx="4">
                  <c:v>2119</c:v>
                </c:pt>
                <c:pt idx="5">
                  <c:v>2017</c:v>
                </c:pt>
                <c:pt idx="6">
                  <c:v>2136</c:v>
                </c:pt>
                <c:pt idx="7">
                  <c:v>2314</c:v>
                </c:pt>
                <c:pt idx="8">
                  <c:v>2396</c:v>
                </c:pt>
                <c:pt idx="9">
                  <c:v>2146</c:v>
                </c:pt>
                <c:pt idx="10">
                  <c:v>2082</c:v>
                </c:pt>
                <c:pt idx="11">
                  <c:v>2426</c:v>
                </c:pt>
                <c:pt idx="12">
                  <c:v>2468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65-4916-844C-2F5B3D7C8B41}"/>
            </c:ext>
          </c:extLst>
        </c:ser>
        <c:ser>
          <c:idx val="3"/>
          <c:order val="2"/>
          <c:tx>
            <c:strRef>
              <c:f>'οικονομική '!$AP$27</c:f>
              <c:strCache>
                <c:ptCount val="1"/>
                <c:pt idx="0">
                  <c:v>ΤΡΑΠΕΖΕΣ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'οικονομική '!$AX$27:$BJ$27</c:f>
              <c:numCache>
                <c:formatCode>General</c:formatCode>
                <c:ptCount val="13"/>
                <c:pt idx="0">
                  <c:v>712</c:v>
                </c:pt>
                <c:pt idx="1">
                  <c:v>806</c:v>
                </c:pt>
                <c:pt idx="2">
                  <c:v>780</c:v>
                </c:pt>
                <c:pt idx="3">
                  <c:v>743</c:v>
                </c:pt>
                <c:pt idx="4">
                  <c:v>740</c:v>
                </c:pt>
                <c:pt idx="5">
                  <c:v>708</c:v>
                </c:pt>
                <c:pt idx="6">
                  <c:v>718</c:v>
                </c:pt>
                <c:pt idx="7">
                  <c:v>737</c:v>
                </c:pt>
                <c:pt idx="8">
                  <c:v>1117</c:v>
                </c:pt>
                <c:pt idx="9">
                  <c:v>1124</c:v>
                </c:pt>
                <c:pt idx="10">
                  <c:v>1122</c:v>
                </c:pt>
                <c:pt idx="11">
                  <c:v>1145</c:v>
                </c:pt>
                <c:pt idx="12">
                  <c:v>1279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65-4916-844C-2F5B3D7C8B41}"/>
            </c:ext>
          </c:extLst>
        </c:ser>
        <c:ser>
          <c:idx val="4"/>
          <c:order val="3"/>
          <c:tx>
            <c:strRef>
              <c:f>'οικονομική '!$AP$28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'οικονομική '!$AX$28:$BJ$28</c:f>
              <c:numCache>
                <c:formatCode>General</c:formatCode>
                <c:ptCount val="13"/>
                <c:pt idx="0">
                  <c:v>4436</c:v>
                </c:pt>
                <c:pt idx="1">
                  <c:v>4599</c:v>
                </c:pt>
                <c:pt idx="2">
                  <c:v>4460</c:v>
                </c:pt>
                <c:pt idx="3">
                  <c:v>3481</c:v>
                </c:pt>
                <c:pt idx="4">
                  <c:v>2135</c:v>
                </c:pt>
                <c:pt idx="5">
                  <c:v>1376</c:v>
                </c:pt>
                <c:pt idx="6">
                  <c:v>1208</c:v>
                </c:pt>
                <c:pt idx="7">
                  <c:v>1198</c:v>
                </c:pt>
                <c:pt idx="8">
                  <c:v>1225</c:v>
                </c:pt>
                <c:pt idx="9">
                  <c:v>1207</c:v>
                </c:pt>
                <c:pt idx="10">
                  <c:v>1319</c:v>
                </c:pt>
                <c:pt idx="11">
                  <c:v>4544</c:v>
                </c:pt>
                <c:pt idx="12">
                  <c:v>5044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365-4916-844C-2F5B3D7C8B41}"/>
            </c:ext>
          </c:extLst>
        </c:ser>
        <c:ser>
          <c:idx val="5"/>
          <c:order val="4"/>
          <c:tx>
            <c:strRef>
              <c:f>'οικονομική '!$AP$29</c:f>
              <c:strCache>
                <c:ptCount val="1"/>
                <c:pt idx="0">
                  <c:v>ΚΑΤΑΣΚΕΥΕΣ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'οικονομική '!$AX$29:$BJ$29</c:f>
              <c:numCache>
                <c:formatCode>General</c:formatCode>
                <c:ptCount val="13"/>
                <c:pt idx="0">
                  <c:v>996</c:v>
                </c:pt>
                <c:pt idx="1">
                  <c:v>1071</c:v>
                </c:pt>
                <c:pt idx="2">
                  <c:v>1069</c:v>
                </c:pt>
                <c:pt idx="3">
                  <c:v>1035</c:v>
                </c:pt>
                <c:pt idx="4">
                  <c:v>983</c:v>
                </c:pt>
                <c:pt idx="5">
                  <c:v>977</c:v>
                </c:pt>
                <c:pt idx="6">
                  <c:v>964</c:v>
                </c:pt>
                <c:pt idx="7">
                  <c:v>968</c:v>
                </c:pt>
                <c:pt idx="8">
                  <c:v>985</c:v>
                </c:pt>
                <c:pt idx="9">
                  <c:v>1041</c:v>
                </c:pt>
                <c:pt idx="10">
                  <c:v>1005</c:v>
                </c:pt>
                <c:pt idx="11">
                  <c:v>1028</c:v>
                </c:pt>
                <c:pt idx="12">
                  <c:v>980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365-4916-844C-2F5B3D7C8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817600"/>
        <c:axId val="215827584"/>
      </c:lineChart>
      <c:catAx>
        <c:axId val="2158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CY"/>
          </a:p>
        </c:txPr>
        <c:crossAx val="215827584"/>
        <c:crosses val="autoZero"/>
        <c:auto val="1"/>
        <c:lblAlgn val="ctr"/>
        <c:lblOffset val="100"/>
        <c:noMultiLvlLbl val="0"/>
      </c:catAx>
      <c:valAx>
        <c:axId val="215827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CY"/>
          </a:p>
        </c:txPr>
        <c:crossAx val="21581760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608688839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επάγγελμα!$AL$1:$AX$2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επάγγελμα!$AL$4:$AX$4</c:f>
              <c:numCache>
                <c:formatCode>General</c:formatCode>
                <c:ptCount val="13"/>
                <c:pt idx="0">
                  <c:v>1358</c:v>
                </c:pt>
                <c:pt idx="1">
                  <c:v>1282</c:v>
                </c:pt>
                <c:pt idx="2">
                  <c:v>1276</c:v>
                </c:pt>
                <c:pt idx="3">
                  <c:v>1250</c:v>
                </c:pt>
                <c:pt idx="4">
                  <c:v>1304</c:v>
                </c:pt>
                <c:pt idx="5">
                  <c:v>1346</c:v>
                </c:pt>
                <c:pt idx="6">
                  <c:v>2353</c:v>
                </c:pt>
                <c:pt idx="7">
                  <c:v>3220</c:v>
                </c:pt>
                <c:pt idx="8">
                  <c:v>3447</c:v>
                </c:pt>
                <c:pt idx="9">
                  <c:v>1728</c:v>
                </c:pt>
                <c:pt idx="10">
                  <c:v>1461</c:v>
                </c:pt>
                <c:pt idx="11">
                  <c:v>1455</c:v>
                </c:pt>
                <c:pt idx="12">
                  <c:v>1464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7F-4569-9C32-62CC9BDD685A}"/>
            </c:ext>
          </c:extLst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επάγγελμα!$AL$1:$AX$2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επάγγελμα!$AL$6:$AX$6</c:f>
              <c:numCache>
                <c:formatCode>General</c:formatCode>
                <c:ptCount val="13"/>
                <c:pt idx="0">
                  <c:v>2407</c:v>
                </c:pt>
                <c:pt idx="1">
                  <c:v>2576</c:v>
                </c:pt>
                <c:pt idx="2">
                  <c:v>2553</c:v>
                </c:pt>
                <c:pt idx="3">
                  <c:v>2411</c:v>
                </c:pt>
                <c:pt idx="4">
                  <c:v>2202</c:v>
                </c:pt>
                <c:pt idx="5">
                  <c:v>2056</c:v>
                </c:pt>
                <c:pt idx="6">
                  <c:v>2059</c:v>
                </c:pt>
                <c:pt idx="7">
                  <c:v>2173</c:v>
                </c:pt>
                <c:pt idx="8">
                  <c:v>2487</c:v>
                </c:pt>
                <c:pt idx="9">
                  <c:v>2385</c:v>
                </c:pt>
                <c:pt idx="10">
                  <c:v>2376</c:v>
                </c:pt>
                <c:pt idx="11">
                  <c:v>2772</c:v>
                </c:pt>
                <c:pt idx="12">
                  <c:v>2890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7F-4569-9C32-62CC9BDD685A}"/>
            </c:ext>
          </c:extLst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επάγγελμα!$AL$1:$AX$2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επάγγελμα!$AL$7:$AX$7</c:f>
              <c:numCache>
                <c:formatCode>General</c:formatCode>
                <c:ptCount val="13"/>
                <c:pt idx="0">
                  <c:v>4529</c:v>
                </c:pt>
                <c:pt idx="1">
                  <c:v>4683</c:v>
                </c:pt>
                <c:pt idx="2">
                  <c:v>4655</c:v>
                </c:pt>
                <c:pt idx="3">
                  <c:v>3982</c:v>
                </c:pt>
                <c:pt idx="4">
                  <c:v>2889</c:v>
                </c:pt>
                <c:pt idx="5">
                  <c:v>2362</c:v>
                </c:pt>
                <c:pt idx="6">
                  <c:v>2955</c:v>
                </c:pt>
                <c:pt idx="7">
                  <c:v>3219</c:v>
                </c:pt>
                <c:pt idx="8">
                  <c:v>3310</c:v>
                </c:pt>
                <c:pt idx="9">
                  <c:v>2301</c:v>
                </c:pt>
                <c:pt idx="10">
                  <c:v>2249</c:v>
                </c:pt>
                <c:pt idx="11">
                  <c:v>4417</c:v>
                </c:pt>
                <c:pt idx="12">
                  <c:v>4855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7F-4569-9C32-62CC9BDD685A}"/>
            </c:ext>
          </c:extLst>
        </c:ser>
        <c:ser>
          <c:idx val="3"/>
          <c:order val="3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επάγγελμα!$AL$1:$AX$2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Σεπτέμβρης</c:v>
                  </c:pt>
                  <c:pt idx="10">
                    <c:v>Οκτώβρης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επάγγελμα!$AL$11:$AX$11</c:f>
              <c:numCache>
                <c:formatCode>General</c:formatCode>
                <c:ptCount val="13"/>
                <c:pt idx="0">
                  <c:v>2994</c:v>
                </c:pt>
                <c:pt idx="1">
                  <c:v>3136</c:v>
                </c:pt>
                <c:pt idx="2">
                  <c:v>3114</c:v>
                </c:pt>
                <c:pt idx="3">
                  <c:v>2590</c:v>
                </c:pt>
                <c:pt idx="4">
                  <c:v>1952</c:v>
                </c:pt>
                <c:pt idx="5">
                  <c:v>1626</c:v>
                </c:pt>
                <c:pt idx="6">
                  <c:v>1663</c:v>
                </c:pt>
                <c:pt idx="7">
                  <c:v>2035</c:v>
                </c:pt>
                <c:pt idx="8">
                  <c:v>2031</c:v>
                </c:pt>
                <c:pt idx="9">
                  <c:v>1762</c:v>
                </c:pt>
                <c:pt idx="10">
                  <c:v>1782</c:v>
                </c:pt>
                <c:pt idx="11">
                  <c:v>2916</c:v>
                </c:pt>
                <c:pt idx="12">
                  <c:v>3083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7F-4569-9C32-62CC9BDD6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813504"/>
        <c:axId val="216806528"/>
      </c:lineChart>
      <c:catAx>
        <c:axId val="21581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16806528"/>
        <c:crosses val="autoZero"/>
        <c:auto val="1"/>
        <c:lblAlgn val="ctr"/>
        <c:lblOffset val="100"/>
        <c:noMultiLvlLbl val="0"/>
      </c:catAx>
      <c:valAx>
        <c:axId val="216806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1581350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37274978436"/>
          <c:y val="0.23034496807302071"/>
          <c:w val="0.26641662725021564"/>
          <c:h val="0.28365354330708659"/>
        </c:manualLayout>
      </c:layout>
      <c:overlay val="0"/>
      <c:txPr>
        <a:bodyPr/>
        <a:lstStyle/>
        <a:p>
          <a:pPr>
            <a:defRPr lang="el-GR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595956853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'ηλικία '!$BI$3:$BU$3</c:f>
              <c:numCache>
                <c:formatCode>#,##0</c:formatCode>
                <c:ptCount val="13"/>
                <c:pt idx="0">
                  <c:v>798</c:v>
                </c:pt>
                <c:pt idx="1">
                  <c:v>835</c:v>
                </c:pt>
                <c:pt idx="2">
                  <c:v>803</c:v>
                </c:pt>
                <c:pt idx="3">
                  <c:v>642</c:v>
                </c:pt>
                <c:pt idx="4">
                  <c:v>476</c:v>
                </c:pt>
                <c:pt idx="5">
                  <c:v>431</c:v>
                </c:pt>
                <c:pt idx="6">
                  <c:v>473</c:v>
                </c:pt>
                <c:pt idx="7">
                  <c:v>531</c:v>
                </c:pt>
                <c:pt idx="8">
                  <c:v>548</c:v>
                </c:pt>
                <c:pt idx="9">
                  <c:v>498</c:v>
                </c:pt>
                <c:pt idx="10">
                  <c:v>505</c:v>
                </c:pt>
                <c:pt idx="11">
                  <c:v>819</c:v>
                </c:pt>
                <c:pt idx="12">
                  <c:v>842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0A-4CC7-A22D-B216B925C9CB}"/>
            </c:ext>
          </c:extLst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'ηλικία '!$BI$4:$BU$4</c:f>
              <c:numCache>
                <c:formatCode>#,##0</c:formatCode>
                <c:ptCount val="13"/>
                <c:pt idx="0">
                  <c:v>1799</c:v>
                </c:pt>
                <c:pt idx="1">
                  <c:v>1838</c:v>
                </c:pt>
                <c:pt idx="2">
                  <c:v>1832</c:v>
                </c:pt>
                <c:pt idx="3">
                  <c:v>1608</c:v>
                </c:pt>
                <c:pt idx="4">
                  <c:v>1326</c:v>
                </c:pt>
                <c:pt idx="5">
                  <c:v>1180</c:v>
                </c:pt>
                <c:pt idx="6">
                  <c:v>1400</c:v>
                </c:pt>
                <c:pt idx="7">
                  <c:v>1631</c:v>
                </c:pt>
                <c:pt idx="8">
                  <c:v>1693</c:v>
                </c:pt>
                <c:pt idx="9">
                  <c:v>1276</c:v>
                </c:pt>
                <c:pt idx="10">
                  <c:v>1207</c:v>
                </c:pt>
                <c:pt idx="11">
                  <c:v>1701</c:v>
                </c:pt>
                <c:pt idx="12">
                  <c:v>1767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0A-4CC7-A22D-B216B925C9CB}"/>
            </c:ext>
          </c:extLst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'ηλικία '!$BI$5:$BU$5</c:f>
              <c:numCache>
                <c:formatCode>#,##0</c:formatCode>
                <c:ptCount val="13"/>
                <c:pt idx="0">
                  <c:v>4095</c:v>
                </c:pt>
                <c:pt idx="1">
                  <c:v>4201</c:v>
                </c:pt>
                <c:pt idx="2">
                  <c:v>4173</c:v>
                </c:pt>
                <c:pt idx="3">
                  <c:v>3789</c:v>
                </c:pt>
                <c:pt idx="4">
                  <c:v>3299</c:v>
                </c:pt>
                <c:pt idx="5">
                  <c:v>2991</c:v>
                </c:pt>
                <c:pt idx="6">
                  <c:v>3831</c:v>
                </c:pt>
                <c:pt idx="7">
                  <c:v>4486</c:v>
                </c:pt>
                <c:pt idx="8">
                  <c:v>4716</c:v>
                </c:pt>
                <c:pt idx="9">
                  <c:v>3330</c:v>
                </c:pt>
                <c:pt idx="10">
                  <c:v>3142</c:v>
                </c:pt>
                <c:pt idx="11">
                  <c:v>4074</c:v>
                </c:pt>
                <c:pt idx="12">
                  <c:v>4272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0A-4CC7-A22D-B216B925C9CB}"/>
            </c:ext>
          </c:extLst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'ηλικία '!$BI$6:$BU$6</c:f>
              <c:numCache>
                <c:formatCode>#,##0</c:formatCode>
                <c:ptCount val="13"/>
                <c:pt idx="0">
                  <c:v>3339</c:v>
                </c:pt>
                <c:pt idx="1">
                  <c:v>3470</c:v>
                </c:pt>
                <c:pt idx="2">
                  <c:v>3431</c:v>
                </c:pt>
                <c:pt idx="3">
                  <c:v>3062</c:v>
                </c:pt>
                <c:pt idx="4">
                  <c:v>2478</c:v>
                </c:pt>
                <c:pt idx="5">
                  <c:v>2256</c:v>
                </c:pt>
                <c:pt idx="6">
                  <c:v>2660</c:v>
                </c:pt>
                <c:pt idx="7">
                  <c:v>3131</c:v>
                </c:pt>
                <c:pt idx="8">
                  <c:v>3291</c:v>
                </c:pt>
                <c:pt idx="9">
                  <c:v>2461</c:v>
                </c:pt>
                <c:pt idx="10">
                  <c:v>2351</c:v>
                </c:pt>
                <c:pt idx="11">
                  <c:v>3390</c:v>
                </c:pt>
                <c:pt idx="12">
                  <c:v>3631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0A-4CC7-A22D-B216B925C9CB}"/>
            </c:ext>
          </c:extLst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'ηλικία '!$BI$7:$BU$7</c:f>
              <c:numCache>
                <c:formatCode>#,##0</c:formatCode>
                <c:ptCount val="13"/>
                <c:pt idx="0">
                  <c:v>3190</c:v>
                </c:pt>
                <c:pt idx="1">
                  <c:v>3386</c:v>
                </c:pt>
                <c:pt idx="2">
                  <c:v>3419</c:v>
                </c:pt>
                <c:pt idx="3">
                  <c:v>3144</c:v>
                </c:pt>
                <c:pt idx="4">
                  <c:v>2631</c:v>
                </c:pt>
                <c:pt idx="5">
                  <c:v>2349</c:v>
                </c:pt>
                <c:pt idx="6">
                  <c:v>2543</c:v>
                </c:pt>
                <c:pt idx="7">
                  <c:v>2813</c:v>
                </c:pt>
                <c:pt idx="8">
                  <c:v>3102</c:v>
                </c:pt>
                <c:pt idx="9">
                  <c:v>2596</c:v>
                </c:pt>
                <c:pt idx="10">
                  <c:v>2539</c:v>
                </c:pt>
                <c:pt idx="11">
                  <c:v>3558</c:v>
                </c:pt>
                <c:pt idx="12">
                  <c:v>3778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0A-4CC7-A22D-B216B925C9CB}"/>
            </c:ext>
          </c:extLst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'ηλικία '!$BI$8:$BU$8</c:f>
              <c:numCache>
                <c:formatCode>#,##0</c:formatCode>
                <c:ptCount val="13"/>
                <c:pt idx="0">
                  <c:v>1495</c:v>
                </c:pt>
                <c:pt idx="1">
                  <c:v>1614</c:v>
                </c:pt>
                <c:pt idx="2">
                  <c:v>1613</c:v>
                </c:pt>
                <c:pt idx="3">
                  <c:v>1500</c:v>
                </c:pt>
                <c:pt idx="4">
                  <c:v>1384</c:v>
                </c:pt>
                <c:pt idx="5">
                  <c:v>1316</c:v>
                </c:pt>
                <c:pt idx="6">
                  <c:v>1354</c:v>
                </c:pt>
                <c:pt idx="7">
                  <c:v>1472</c:v>
                </c:pt>
                <c:pt idx="8">
                  <c:v>1526</c:v>
                </c:pt>
                <c:pt idx="9">
                  <c:v>1363</c:v>
                </c:pt>
                <c:pt idx="10">
                  <c:v>1353</c:v>
                </c:pt>
                <c:pt idx="11">
                  <c:v>1669</c:v>
                </c:pt>
                <c:pt idx="12">
                  <c:v>1736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0A-4CC7-A22D-B216B925C9CB}"/>
            </c:ext>
          </c:extLst>
        </c:ser>
        <c:ser>
          <c:idx val="6"/>
          <c:order val="6"/>
          <c:tx>
            <c:strRef>
              <c:f>'ηλικία '!$A$9</c:f>
              <c:strCache>
                <c:ptCount val="1"/>
                <c:pt idx="0">
                  <c:v>ΑΝΩ ΤΩΝ 65</c:v>
                </c:pt>
              </c:strCache>
            </c:strRef>
          </c:tx>
          <c:cat>
            <c:multiLvlStrRef>
              <c:f>'ηλικία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'ηλικία '!$BI$9:$BU$9</c:f>
              <c:numCache>
                <c:formatCode>#,##0</c:formatCode>
                <c:ptCount val="13"/>
                <c:pt idx="0">
                  <c:v>84</c:v>
                </c:pt>
                <c:pt idx="1">
                  <c:v>86</c:v>
                </c:pt>
                <c:pt idx="2">
                  <c:v>93</c:v>
                </c:pt>
                <c:pt idx="3">
                  <c:v>73</c:v>
                </c:pt>
                <c:pt idx="4">
                  <c:v>70</c:v>
                </c:pt>
                <c:pt idx="5">
                  <c:v>63</c:v>
                </c:pt>
                <c:pt idx="6">
                  <c:v>71</c:v>
                </c:pt>
                <c:pt idx="7">
                  <c:v>81</c:v>
                </c:pt>
                <c:pt idx="8">
                  <c:v>85</c:v>
                </c:pt>
                <c:pt idx="9">
                  <c:v>86</c:v>
                </c:pt>
                <c:pt idx="10">
                  <c:v>86</c:v>
                </c:pt>
                <c:pt idx="11">
                  <c:v>98</c:v>
                </c:pt>
                <c:pt idx="12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0A-4CC7-A22D-B216B925C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36512"/>
        <c:axId val="218738048"/>
      </c:lineChart>
      <c:catAx>
        <c:axId val="21873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18738048"/>
        <c:crosses val="autoZero"/>
        <c:auto val="1"/>
        <c:lblAlgn val="ctr"/>
        <c:lblOffset val="100"/>
        <c:noMultiLvlLbl val="0"/>
      </c:catAx>
      <c:valAx>
        <c:axId val="21873804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1873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84923357933"/>
          <c:w val="0.15683462712037322"/>
          <c:h val="0.51748953010967669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3023432848279124"/>
          <c:y val="4.881082172420755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'διάρκεια '!$BI$9:$BU$9</c:f>
              <c:numCache>
                <c:formatCode>General</c:formatCode>
                <c:ptCount val="13"/>
                <c:pt idx="0">
                  <c:v>3302</c:v>
                </c:pt>
                <c:pt idx="1">
                  <c:v>3253</c:v>
                </c:pt>
                <c:pt idx="2">
                  <c:v>3142</c:v>
                </c:pt>
                <c:pt idx="3">
                  <c:v>3115</c:v>
                </c:pt>
                <c:pt idx="4">
                  <c:v>3295</c:v>
                </c:pt>
                <c:pt idx="5">
                  <c:v>3401</c:v>
                </c:pt>
                <c:pt idx="6">
                  <c:v>3062</c:v>
                </c:pt>
                <c:pt idx="7">
                  <c:v>3154</c:v>
                </c:pt>
                <c:pt idx="8">
                  <c:v>3219</c:v>
                </c:pt>
                <c:pt idx="9">
                  <c:v>2998</c:v>
                </c:pt>
                <c:pt idx="10">
                  <c:v>3040</c:v>
                </c:pt>
                <c:pt idx="11">
                  <c:v>3134</c:v>
                </c:pt>
                <c:pt idx="12">
                  <c:v>3173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6D-4C7E-9346-295067457E42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'διάρκεια '!$BI$8:$BU$8</c:f>
              <c:numCache>
                <c:formatCode>#,##0</c:formatCode>
                <c:ptCount val="13"/>
                <c:pt idx="0">
                  <c:v>2120</c:v>
                </c:pt>
                <c:pt idx="1">
                  <c:v>2001</c:v>
                </c:pt>
                <c:pt idx="2">
                  <c:v>1911</c:v>
                </c:pt>
                <c:pt idx="3">
                  <c:v>1764</c:v>
                </c:pt>
                <c:pt idx="4">
                  <c:v>1640</c:v>
                </c:pt>
                <c:pt idx="5">
                  <c:v>1485</c:v>
                </c:pt>
                <c:pt idx="6">
                  <c:v>1406</c:v>
                </c:pt>
                <c:pt idx="7">
                  <c:v>1329</c:v>
                </c:pt>
                <c:pt idx="8">
                  <c:v>1285</c:v>
                </c:pt>
                <c:pt idx="9">
                  <c:v>1284</c:v>
                </c:pt>
                <c:pt idx="10">
                  <c:v>1317</c:v>
                </c:pt>
                <c:pt idx="11">
                  <c:v>1337</c:v>
                </c:pt>
                <c:pt idx="12">
                  <c:v>1369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6D-4C7E-9346-295067457E42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'διάρκεια '!$BI$5:$BU$5</c:f>
              <c:numCache>
                <c:formatCode>#,##0</c:formatCode>
                <c:ptCount val="13"/>
                <c:pt idx="0">
                  <c:v>9690</c:v>
                </c:pt>
                <c:pt idx="1">
                  <c:v>9569</c:v>
                </c:pt>
                <c:pt idx="2">
                  <c:v>7214</c:v>
                </c:pt>
                <c:pt idx="3">
                  <c:v>5617</c:v>
                </c:pt>
                <c:pt idx="4">
                  <c:v>4640</c:v>
                </c:pt>
                <c:pt idx="5">
                  <c:v>4579</c:v>
                </c:pt>
                <c:pt idx="6">
                  <c:v>6953</c:v>
                </c:pt>
                <c:pt idx="7">
                  <c:v>8960</c:v>
                </c:pt>
                <c:pt idx="8">
                  <c:v>9185</c:v>
                </c:pt>
                <c:pt idx="9">
                  <c:v>6002</c:v>
                </c:pt>
                <c:pt idx="10">
                  <c:v>5362</c:v>
                </c:pt>
                <c:pt idx="11">
                  <c:v>9310</c:v>
                </c:pt>
                <c:pt idx="12">
                  <c:v>10178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6D-4C7E-9346-295067457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407488"/>
        <c:axId val="219409024"/>
      </c:lineChart>
      <c:catAx>
        <c:axId val="21940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19409024"/>
        <c:crosses val="autoZero"/>
        <c:auto val="1"/>
        <c:lblAlgn val="ctr"/>
        <c:lblOffset val="100"/>
        <c:noMultiLvlLbl val="0"/>
      </c:catAx>
      <c:valAx>
        <c:axId val="21940902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19407488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98438656705"/>
          <c:w val="0.22872355619858475"/>
          <c:h val="0.20965711016892113"/>
        </c:manualLayout>
      </c:layout>
      <c:overlay val="0"/>
      <c:txPr>
        <a:bodyPr/>
        <a:lstStyle/>
        <a:p>
          <a:pPr>
            <a:defRPr lang="el-GR" sz="9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16882118707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'!$CG$1:$CS$2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'υπηκοότητα '!$CG$4:$CS$4</c:f>
              <c:numCache>
                <c:formatCode>General</c:formatCode>
                <c:ptCount val="13"/>
                <c:pt idx="0">
                  <c:v>3372</c:v>
                </c:pt>
                <c:pt idx="1">
                  <c:v>3496</c:v>
                </c:pt>
                <c:pt idx="2">
                  <c:v>3446</c:v>
                </c:pt>
                <c:pt idx="3">
                  <c:v>2829</c:v>
                </c:pt>
                <c:pt idx="4">
                  <c:v>2018</c:v>
                </c:pt>
                <c:pt idx="5">
                  <c:v>1550</c:v>
                </c:pt>
                <c:pt idx="6">
                  <c:v>1594</c:v>
                </c:pt>
                <c:pt idx="7">
                  <c:v>1692</c:v>
                </c:pt>
                <c:pt idx="8">
                  <c:v>1703</c:v>
                </c:pt>
                <c:pt idx="9">
                  <c:v>1578</c:v>
                </c:pt>
                <c:pt idx="10">
                  <c:v>1591</c:v>
                </c:pt>
                <c:pt idx="11">
                  <c:v>3399</c:v>
                </c:pt>
                <c:pt idx="12">
                  <c:v>3665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E2-4389-8CDF-7BC9E74D06BE}"/>
            </c:ext>
          </c:extLst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'!$CG$1:$CS$2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'υπηκοότητα '!$CG$8:$CS$8</c:f>
              <c:numCache>
                <c:formatCode>General</c:formatCode>
                <c:ptCount val="13"/>
                <c:pt idx="0">
                  <c:v>753</c:v>
                </c:pt>
                <c:pt idx="1">
                  <c:v>802</c:v>
                </c:pt>
                <c:pt idx="2">
                  <c:v>797</c:v>
                </c:pt>
                <c:pt idx="3">
                  <c:v>698</c:v>
                </c:pt>
                <c:pt idx="4">
                  <c:v>552</c:v>
                </c:pt>
                <c:pt idx="5">
                  <c:v>409</c:v>
                </c:pt>
                <c:pt idx="6">
                  <c:v>383</c:v>
                </c:pt>
                <c:pt idx="7">
                  <c:v>396</c:v>
                </c:pt>
                <c:pt idx="8">
                  <c:v>406</c:v>
                </c:pt>
                <c:pt idx="9">
                  <c:v>365</c:v>
                </c:pt>
                <c:pt idx="10">
                  <c:v>352</c:v>
                </c:pt>
                <c:pt idx="11">
                  <c:v>719</c:v>
                </c:pt>
                <c:pt idx="12">
                  <c:v>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E2-4389-8CDF-7BC9E74D06BE}"/>
            </c:ext>
          </c:extLst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49">
              <a:prstDash val="sysDash"/>
            </a:ln>
          </c:spPr>
          <c:marker>
            <c:symbol val="none"/>
          </c:marker>
          <c:cat>
            <c:multiLvlStrRef>
              <c:f>'υπηκοότητα '!$CG$1:$CS$2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'υπηκοότητα '!$CG$10:$CS$10</c:f>
              <c:numCache>
                <c:formatCode>General</c:formatCode>
                <c:ptCount val="13"/>
                <c:pt idx="0">
                  <c:v>437</c:v>
                </c:pt>
                <c:pt idx="1">
                  <c:v>459</c:v>
                </c:pt>
                <c:pt idx="2">
                  <c:v>473</c:v>
                </c:pt>
                <c:pt idx="3">
                  <c:v>478</c:v>
                </c:pt>
                <c:pt idx="4">
                  <c:v>468</c:v>
                </c:pt>
                <c:pt idx="5">
                  <c:v>429</c:v>
                </c:pt>
                <c:pt idx="6">
                  <c:v>404</c:v>
                </c:pt>
                <c:pt idx="7">
                  <c:v>391</c:v>
                </c:pt>
                <c:pt idx="8">
                  <c:v>400</c:v>
                </c:pt>
                <c:pt idx="9">
                  <c:v>395</c:v>
                </c:pt>
                <c:pt idx="10">
                  <c:v>419</c:v>
                </c:pt>
                <c:pt idx="11">
                  <c:v>416</c:v>
                </c:pt>
                <c:pt idx="12">
                  <c:v>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E2-4389-8CDF-7BC9E74D06BE}"/>
            </c:ext>
          </c:extLst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'!$CG$1:$CS$2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'υπηκοότητα '!$CG$3:$CS$3</c:f>
              <c:numCache>
                <c:formatCode>General</c:formatCode>
                <c:ptCount val="13"/>
                <c:pt idx="0">
                  <c:v>9351</c:v>
                </c:pt>
                <c:pt idx="1">
                  <c:v>9712</c:v>
                </c:pt>
                <c:pt idx="2">
                  <c:v>9652</c:v>
                </c:pt>
                <c:pt idx="3">
                  <c:v>8926</c:v>
                </c:pt>
                <c:pt idx="4">
                  <c:v>7818</c:v>
                </c:pt>
                <c:pt idx="5">
                  <c:v>7438</c:v>
                </c:pt>
                <c:pt idx="6">
                  <c:v>9192</c:v>
                </c:pt>
                <c:pt idx="7">
                  <c:v>10846</c:v>
                </c:pt>
                <c:pt idx="8">
                  <c:v>11632</c:v>
                </c:pt>
                <c:pt idx="9">
                  <c:v>8470</c:v>
                </c:pt>
                <c:pt idx="10">
                  <c:v>8056</c:v>
                </c:pt>
                <c:pt idx="11">
                  <c:v>9540</c:v>
                </c:pt>
                <c:pt idx="12">
                  <c:v>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7E2-4389-8CDF-7BC9E74D0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9147776"/>
        <c:axId val="229149312"/>
      </c:lineChart>
      <c:catAx>
        <c:axId val="22914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29149312"/>
        <c:crosses val="autoZero"/>
        <c:auto val="1"/>
        <c:lblAlgn val="ctr"/>
        <c:lblOffset val="100"/>
        <c:noMultiLvlLbl val="0"/>
      </c:catAx>
      <c:valAx>
        <c:axId val="22914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2914777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5404134552"/>
          <c:y val="0.21938921186253585"/>
          <c:w val="0.27419789840757536"/>
          <c:h val="0.55862633993180766"/>
        </c:manualLayout>
      </c:layout>
      <c:overlay val="0"/>
      <c:txPr>
        <a:bodyPr/>
        <a:lstStyle/>
        <a:p>
          <a:pPr>
            <a:defRPr lang="el-GR" sz="8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87808546403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μόρφωση!$BI$8:$BU$8</c:f>
              <c:numCache>
                <c:formatCode>#,##0</c:formatCode>
                <c:ptCount val="13"/>
                <c:pt idx="0">
                  <c:v>6875</c:v>
                </c:pt>
                <c:pt idx="1">
                  <c:v>7122</c:v>
                </c:pt>
                <c:pt idx="2">
                  <c:v>7084</c:v>
                </c:pt>
                <c:pt idx="3">
                  <c:v>6461</c:v>
                </c:pt>
                <c:pt idx="4">
                  <c:v>5283</c:v>
                </c:pt>
                <c:pt idx="5">
                  <c:v>4672</c:v>
                </c:pt>
                <c:pt idx="6">
                  <c:v>5037</c:v>
                </c:pt>
                <c:pt idx="7">
                  <c:v>5588</c:v>
                </c:pt>
                <c:pt idx="8">
                  <c:v>5814</c:v>
                </c:pt>
                <c:pt idx="9">
                  <c:v>4948</c:v>
                </c:pt>
                <c:pt idx="10">
                  <c:v>4845</c:v>
                </c:pt>
                <c:pt idx="11">
                  <c:v>6739</c:v>
                </c:pt>
                <c:pt idx="12">
                  <c:v>7156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0B-4F29-8042-7B50F7A96BCA}"/>
            </c:ext>
          </c:extLst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μόρφωση!$BI$9:$BU$9</c:f>
              <c:numCache>
                <c:formatCode>General</c:formatCode>
                <c:ptCount val="13"/>
                <c:pt idx="0">
                  <c:v>4212</c:v>
                </c:pt>
                <c:pt idx="1">
                  <c:v>4347</c:v>
                </c:pt>
                <c:pt idx="2">
                  <c:v>4331</c:v>
                </c:pt>
                <c:pt idx="3">
                  <c:v>4072</c:v>
                </c:pt>
                <c:pt idx="4">
                  <c:v>3880</c:v>
                </c:pt>
                <c:pt idx="5">
                  <c:v>3902</c:v>
                </c:pt>
                <c:pt idx="6">
                  <c:v>5406</c:v>
                </c:pt>
                <c:pt idx="7">
                  <c:v>6587</c:v>
                </c:pt>
                <c:pt idx="8">
                  <c:v>7193</c:v>
                </c:pt>
                <c:pt idx="9">
                  <c:v>4743</c:v>
                </c:pt>
                <c:pt idx="10">
                  <c:v>4368</c:v>
                </c:pt>
                <c:pt idx="11">
                  <c:v>4673</c:v>
                </c:pt>
                <c:pt idx="12">
                  <c:v>4759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0B-4F29-8042-7B50F7A96BCA}"/>
            </c:ext>
          </c:extLst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μόρφωση!$BI$1:$BU$2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μόρφωση!$BI$4:$BU$4</c:f>
              <c:numCache>
                <c:formatCode>#,##0</c:formatCode>
                <c:ptCount val="13"/>
                <c:pt idx="0">
                  <c:v>3577</c:v>
                </c:pt>
                <c:pt idx="1">
                  <c:v>3825</c:v>
                </c:pt>
                <c:pt idx="2">
                  <c:v>3811</c:v>
                </c:pt>
                <c:pt idx="3">
                  <c:v>3154</c:v>
                </c:pt>
                <c:pt idx="4">
                  <c:v>2384</c:v>
                </c:pt>
                <c:pt idx="5">
                  <c:v>1913</c:v>
                </c:pt>
                <c:pt idx="6">
                  <c:v>1799</c:v>
                </c:pt>
                <c:pt idx="7">
                  <c:v>1879</c:v>
                </c:pt>
                <c:pt idx="8">
                  <c:v>1867</c:v>
                </c:pt>
                <c:pt idx="9">
                  <c:v>1821</c:v>
                </c:pt>
                <c:pt idx="10">
                  <c:v>1882</c:v>
                </c:pt>
                <c:pt idx="11">
                  <c:v>3766</c:v>
                </c:pt>
                <c:pt idx="12">
                  <c:v>4090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0B-4F29-8042-7B50F7A96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237120"/>
        <c:axId val="229238656"/>
      </c:lineChart>
      <c:catAx>
        <c:axId val="22923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29238656"/>
        <c:crosses val="autoZero"/>
        <c:auto val="1"/>
        <c:lblAlgn val="ctr"/>
        <c:lblOffset val="100"/>
        <c:noMultiLvlLbl val="0"/>
      </c:catAx>
      <c:valAx>
        <c:axId val="22923865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2923712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17372968827"/>
          <c:w val="0.24643220834144852"/>
          <c:h val="0.39561738771417615"/>
        </c:manualLayout>
      </c:layout>
      <c:overlay val="0"/>
      <c:txPr>
        <a:bodyPr/>
        <a:lstStyle/>
        <a:p>
          <a:pPr>
            <a:defRPr lang="el-GR" sz="11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1037-C6EC-4E09-A8F2-12BF6C46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Sivitanidou  Elena</cp:lastModifiedBy>
  <cp:revision>3</cp:revision>
  <cp:lastPrinted>2021-08-05T07:56:00Z</cp:lastPrinted>
  <dcterms:created xsi:type="dcterms:W3CDTF">2023-01-27T13:43:00Z</dcterms:created>
  <dcterms:modified xsi:type="dcterms:W3CDTF">2023-01-27T13:51:00Z</dcterms:modified>
</cp:coreProperties>
</file>